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967" w:rsidRDefault="00D82509" w:rsidP="00D82509">
      <w:pPr>
        <w:jc w:val="center"/>
        <w:rPr>
          <w:b/>
        </w:rPr>
      </w:pPr>
      <w:bookmarkStart w:id="0" w:name="_GoBack"/>
      <w:bookmarkEnd w:id="0"/>
      <w:r w:rsidRPr="00D82509">
        <w:rPr>
          <w:b/>
          <w:noProof/>
        </w:rPr>
        <w:drawing>
          <wp:inline distT="0" distB="0" distL="0" distR="0" wp14:anchorId="48D6181E" wp14:editId="58681CF3">
            <wp:extent cx="3456432" cy="722376"/>
            <wp:effectExtent l="0" t="0" r="0" b="1905"/>
            <wp:docPr id="2" name="Picture 2" descr="C:\Users\Sharon\Pictures\Framework\frame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ron\Pictures\Framework\framework.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786" t="1" b="45237"/>
                    <a:stretch/>
                  </pic:blipFill>
                  <pic:spPr bwMode="auto">
                    <a:xfrm>
                      <a:off x="0" y="0"/>
                      <a:ext cx="3456432" cy="722376"/>
                    </a:xfrm>
                    <a:prstGeom prst="rect">
                      <a:avLst/>
                    </a:prstGeom>
                    <a:noFill/>
                    <a:ln>
                      <a:noFill/>
                    </a:ln>
                    <a:extLst>
                      <a:ext uri="{53640926-AAD7-44D8-BBD7-CCE9431645EC}">
                        <a14:shadowObscured xmlns:a14="http://schemas.microsoft.com/office/drawing/2010/main"/>
                      </a:ext>
                    </a:extLst>
                  </pic:spPr>
                </pic:pic>
              </a:graphicData>
            </a:graphic>
          </wp:inline>
        </w:drawing>
      </w:r>
    </w:p>
    <w:p w:rsidR="00B73967" w:rsidRDefault="00B73967" w:rsidP="008B0E10">
      <w:pPr>
        <w:rPr>
          <w:b/>
        </w:rPr>
      </w:pPr>
    </w:p>
    <w:p w:rsidR="00791A89" w:rsidRDefault="006B12F8" w:rsidP="008B0E10">
      <w:r>
        <w:t>H</w:t>
      </w:r>
      <w:r w:rsidR="008910D7">
        <w:t>igher education is changing</w:t>
      </w:r>
      <w:r w:rsidR="00053111">
        <w:t xml:space="preserve"> dramatically</w:t>
      </w:r>
      <w:r w:rsidR="008910D7">
        <w:t xml:space="preserve"> and librari</w:t>
      </w:r>
      <w:r w:rsidR="00053111">
        <w:t>es are changing along with it</w:t>
      </w:r>
      <w:r>
        <w:t>.</w:t>
      </w:r>
      <w:r w:rsidR="00053111">
        <w:t xml:space="preserve"> </w:t>
      </w:r>
      <w:r>
        <w:t>We face the common challenge of h</w:t>
      </w:r>
      <w:r w:rsidR="00053111">
        <w:t xml:space="preserve">ow </w:t>
      </w:r>
      <w:r>
        <w:t>to</w:t>
      </w:r>
      <w:r w:rsidR="00053111">
        <w:t xml:space="preserve"> help students develop both a conceptual understanding of the universe of information and a practical understanding of how to locate, man</w:t>
      </w:r>
      <w:r w:rsidR="00027C23">
        <w:t>age, use and cr</w:t>
      </w:r>
      <w:r>
        <w:t>eate information, in the face of diminishing resources, demands for demonstrating student success, and an increasingly complex information landscape</w:t>
      </w:r>
    </w:p>
    <w:p w:rsidR="00027C23" w:rsidRDefault="00027C23" w:rsidP="008B0E10">
      <w:r>
        <w:t>Teaching can be a solitary undertaking, and so can learning, but new approaches to teaching and learning show clearly that collaboration – within and across disciplines – can lead to uncovering enduring understandings that lead to deep learning and the emergence of students as creators of information, not just consumers.</w:t>
      </w:r>
      <w:r w:rsidR="002257F2">
        <w:t xml:space="preserve">  </w:t>
      </w:r>
      <w:r w:rsidR="006C04AF">
        <w:t>To complete this learning circle, faculty can look to librarians as partners in the academic mission.</w:t>
      </w:r>
    </w:p>
    <w:p w:rsidR="00C70A44" w:rsidRDefault="00791A89" w:rsidP="008B0E10">
      <w:r>
        <w:rPr>
          <w:i/>
        </w:rPr>
        <w:t xml:space="preserve">The </w:t>
      </w:r>
      <w:r w:rsidR="00053111">
        <w:rPr>
          <w:i/>
        </w:rPr>
        <w:t>Framework for Information Literacy for Higher Education</w:t>
      </w:r>
      <w:r>
        <w:rPr>
          <w:i/>
        </w:rPr>
        <w:t>,</w:t>
      </w:r>
      <w:r>
        <w:t xml:space="preserve"> from the Association of College &amp; Research </w:t>
      </w:r>
      <w:r w:rsidR="00402FE2">
        <w:t xml:space="preserve">Libraries, takes </w:t>
      </w:r>
      <w:r w:rsidR="00027C23">
        <w:t xml:space="preserve">librarians </w:t>
      </w:r>
      <w:r w:rsidR="00402FE2">
        <w:t>to the heart of</w:t>
      </w:r>
      <w:r w:rsidR="00027C23">
        <w:t xml:space="preserve"> student learning in the classroom</w:t>
      </w:r>
      <w:r w:rsidR="00EA7166">
        <w:t>, in the curriculum</w:t>
      </w:r>
      <w:r w:rsidR="00027C23">
        <w:t xml:space="preserve"> and </w:t>
      </w:r>
      <w:r w:rsidR="00EA7166">
        <w:t>in the</w:t>
      </w:r>
      <w:r w:rsidR="00027C23">
        <w:t xml:space="preserve"> ins</w:t>
      </w:r>
      <w:r w:rsidR="00E45648">
        <w:t>titution</w:t>
      </w:r>
      <w:r w:rsidR="006C04AF">
        <w:t>.</w:t>
      </w:r>
    </w:p>
    <w:p w:rsidR="00C70A44" w:rsidRDefault="00C70A44" w:rsidP="00C70A44">
      <w:pPr>
        <w:spacing w:after="0"/>
      </w:pPr>
      <w:r w:rsidRPr="00C70A44">
        <w:rPr>
          <w:b/>
        </w:rPr>
        <w:t>A content</w:t>
      </w:r>
      <w:r>
        <w:t>…</w:t>
      </w:r>
    </w:p>
    <w:p w:rsidR="002257F2" w:rsidRDefault="00293C6C" w:rsidP="00C70A44">
      <w:pPr>
        <w:ind w:left="720"/>
      </w:pPr>
      <w:r>
        <w:t xml:space="preserve">built around six frames, each consisting of a concept central to information literacy and anchored in threshold concepts, which are those ideas in any discipline that are essential portals to ways of thinking and practicing in that discipline.  </w:t>
      </w:r>
      <w:r w:rsidR="00B83403">
        <w:t>Rather than a linear set of skills and search techniques, e</w:t>
      </w:r>
      <w:r w:rsidR="00C70A44">
        <w:t xml:space="preserve">ach frame </w:t>
      </w:r>
      <w:r w:rsidR="00432135">
        <w:t xml:space="preserve">prompts questions about what learners will need to know, experience, and </w:t>
      </w:r>
      <w:r>
        <w:t xml:space="preserve">do to demonstrate their increased understanding as they progress from novice to </w:t>
      </w:r>
      <w:r w:rsidR="00EA7166">
        <w:t>expert in the scholarly journey and as information literate individuals.</w:t>
      </w:r>
    </w:p>
    <w:p w:rsidR="00C70A44" w:rsidRDefault="00C70A44" w:rsidP="00C70A44">
      <w:pPr>
        <w:spacing w:after="0"/>
      </w:pPr>
      <w:r>
        <w:t xml:space="preserve">A </w:t>
      </w:r>
      <w:r w:rsidR="00402FE2">
        <w:rPr>
          <w:b/>
        </w:rPr>
        <w:t>common language</w:t>
      </w:r>
      <w:r w:rsidR="00FB7A24">
        <w:rPr>
          <w:b/>
        </w:rPr>
        <w:t>…</w:t>
      </w:r>
    </w:p>
    <w:p w:rsidR="00C70A44" w:rsidRDefault="00330657" w:rsidP="001D7359">
      <w:pPr>
        <w:ind w:left="720"/>
      </w:pPr>
      <w:r>
        <w:t xml:space="preserve">for faculty, </w:t>
      </w:r>
      <w:r w:rsidR="00C70A44">
        <w:t>librarians</w:t>
      </w:r>
      <w:r>
        <w:t>, and other</w:t>
      </w:r>
      <w:r w:rsidR="004B1732">
        <w:t>s</w:t>
      </w:r>
      <w:r>
        <w:t xml:space="preserve"> in higher education</w:t>
      </w:r>
      <w:r w:rsidR="00C70A44">
        <w:t xml:space="preserve"> that can transform the conversation about teaching and learning</w:t>
      </w:r>
      <w:r w:rsidR="001D7359">
        <w:t xml:space="preserve"> and bring a new synergy to their complementary</w:t>
      </w:r>
      <w:r w:rsidR="00B83403">
        <w:t xml:space="preserve"> roles as educators.</w:t>
      </w:r>
    </w:p>
    <w:p w:rsidR="00C70A44" w:rsidRDefault="00C70A44" w:rsidP="00C70A44">
      <w:pPr>
        <w:spacing w:after="0"/>
        <w:rPr>
          <w:b/>
        </w:rPr>
      </w:pPr>
      <w:r w:rsidRPr="00C70A44">
        <w:rPr>
          <w:b/>
        </w:rPr>
        <w:t>A context</w:t>
      </w:r>
      <w:r w:rsidR="00B83403">
        <w:rPr>
          <w:b/>
        </w:rPr>
        <w:t>…</w:t>
      </w:r>
    </w:p>
    <w:p w:rsidR="00C70A44" w:rsidRPr="00C70A44" w:rsidRDefault="006B12F8" w:rsidP="00C70A44">
      <w:pPr>
        <w:spacing w:after="0"/>
        <w:ind w:left="720"/>
      </w:pPr>
      <w:r>
        <w:t>f</w:t>
      </w:r>
      <w:r w:rsidR="00C70A44">
        <w:t>or inform</w:t>
      </w:r>
      <w:r w:rsidR="00432135">
        <w:t>ation literacy s</w:t>
      </w:r>
      <w:r w:rsidR="00C70A44">
        <w:t>ituated within the disciplines</w:t>
      </w:r>
      <w:r w:rsidR="00432135">
        <w:t xml:space="preserve"> and tailored for the local </w:t>
      </w:r>
      <w:r w:rsidR="00402FE2">
        <w:t>setting, as well as for th</w:t>
      </w:r>
      <w:r w:rsidR="00B83403">
        <w:t>e larger assessment environment.</w:t>
      </w:r>
    </w:p>
    <w:p w:rsidR="00C70A44" w:rsidRDefault="00C70A44" w:rsidP="00C70A44">
      <w:pPr>
        <w:spacing w:after="0"/>
        <w:rPr>
          <w:b/>
        </w:rPr>
      </w:pPr>
    </w:p>
    <w:p w:rsidR="00C70A44" w:rsidRDefault="00C70A44" w:rsidP="00C70A44">
      <w:pPr>
        <w:spacing w:after="0"/>
        <w:rPr>
          <w:b/>
        </w:rPr>
      </w:pPr>
      <w:r>
        <w:rPr>
          <w:b/>
        </w:rPr>
        <w:t>A collaboration</w:t>
      </w:r>
      <w:r w:rsidR="00B83403">
        <w:rPr>
          <w:b/>
        </w:rPr>
        <w:t>…</w:t>
      </w:r>
    </w:p>
    <w:p w:rsidR="00432135" w:rsidRDefault="00432135" w:rsidP="006B12F8">
      <w:pPr>
        <w:spacing w:after="0"/>
        <w:ind w:left="720"/>
      </w:pPr>
      <w:r>
        <w:t>for course a</w:t>
      </w:r>
      <w:r w:rsidR="006C04AF">
        <w:t xml:space="preserve">nd curriculum design and </w:t>
      </w:r>
      <w:r w:rsidR="00293C6C">
        <w:t>pedagogical</w:t>
      </w:r>
      <w:r w:rsidR="006C04AF">
        <w:t xml:space="preserve"> research </w:t>
      </w:r>
      <w:r>
        <w:t>that combines</w:t>
      </w:r>
      <w:r w:rsidR="006C04AF">
        <w:t xml:space="preserve"> disciplinary and information literacy</w:t>
      </w:r>
      <w:r>
        <w:t xml:space="preserve"> perspectives and that involves the students </w:t>
      </w:r>
      <w:r w:rsidR="001D7359">
        <w:t>in identifying learning challenges and crossing learning thresholds.</w:t>
      </w:r>
    </w:p>
    <w:p w:rsidR="001D7359" w:rsidRDefault="001D7359" w:rsidP="00C70A44">
      <w:pPr>
        <w:spacing w:after="0"/>
      </w:pPr>
    </w:p>
    <w:p w:rsidR="001D7359" w:rsidRDefault="001D7359" w:rsidP="00C70A44">
      <w:pPr>
        <w:spacing w:after="0"/>
        <w:rPr>
          <w:b/>
        </w:rPr>
      </w:pPr>
      <w:r>
        <w:rPr>
          <w:b/>
        </w:rPr>
        <w:t>A commitment</w:t>
      </w:r>
      <w:r w:rsidR="00B83403">
        <w:rPr>
          <w:b/>
        </w:rPr>
        <w:t>…</w:t>
      </w:r>
    </w:p>
    <w:p w:rsidR="006C04AF" w:rsidRDefault="001D7359" w:rsidP="00EA7166">
      <w:pPr>
        <w:spacing w:after="0"/>
        <w:ind w:left="720"/>
      </w:pPr>
      <w:r>
        <w:t xml:space="preserve">To </w:t>
      </w:r>
      <w:r w:rsidR="00B557EE">
        <w:t>transform</w:t>
      </w:r>
      <w:r w:rsidR="00EA7166">
        <w:t xml:space="preserve"> </w:t>
      </w:r>
      <w:r w:rsidR="00DF43C7">
        <w:t xml:space="preserve">student learning through </w:t>
      </w:r>
      <w:r w:rsidR="00EA7166">
        <w:t xml:space="preserve">framing </w:t>
      </w:r>
      <w:r w:rsidR="00E45648">
        <w:t xml:space="preserve">true understanding </w:t>
      </w:r>
      <w:r w:rsidR="00EA7166">
        <w:t xml:space="preserve">of the essential concepts of information and scholarship within the disciplines through </w:t>
      </w:r>
      <w:r w:rsidR="00DF43C7">
        <w:t xml:space="preserve">collaborative </w:t>
      </w:r>
      <w:r w:rsidR="00EA7166">
        <w:t>teaching and learning initiatives.</w:t>
      </w:r>
    </w:p>
    <w:p w:rsidR="006C04AF" w:rsidRDefault="006C04AF" w:rsidP="006C04AF">
      <w:pPr>
        <w:spacing w:after="0"/>
      </w:pPr>
    </w:p>
    <w:p w:rsidR="006C04AF" w:rsidRPr="006C04AF" w:rsidRDefault="006C04AF" w:rsidP="006C04AF">
      <w:pPr>
        <w:spacing w:after="0"/>
        <w:sectPr w:rsidR="006C04AF" w:rsidRPr="006C04AF" w:rsidSect="002224A3">
          <w:pgSz w:w="12240" w:h="15840"/>
          <w:pgMar w:top="720" w:right="720" w:bottom="720" w:left="720" w:header="720" w:footer="720" w:gutter="0"/>
          <w:cols w:space="720"/>
          <w:docGrid w:linePitch="360"/>
        </w:sectPr>
      </w:pPr>
    </w:p>
    <w:p w:rsidR="003808D0" w:rsidRDefault="00A37729" w:rsidP="003808D0">
      <w:r>
        <w:t xml:space="preserve">The collaboration of librarians, faculty, students and other stakeholders will </w:t>
      </w:r>
      <w:r w:rsidR="00C7551C">
        <w:t>drive the</w:t>
      </w:r>
      <w:r>
        <w:t xml:space="preserve"> growth and development of the Framework as a dynamic, living guide for tra</w:t>
      </w:r>
      <w:r w:rsidR="0027304B">
        <w:t>nsforming teaching and learning as we share our experiences.</w:t>
      </w:r>
    </w:p>
    <w:p w:rsidR="006C04AF" w:rsidRDefault="008339E6" w:rsidP="006C04AF">
      <w:pPr>
        <w:spacing w:after="0"/>
        <w:jc w:val="center"/>
      </w:pPr>
      <w:r>
        <w:t xml:space="preserve">For the full Framework, see </w:t>
      </w:r>
      <w:hyperlink r:id="rId6" w:history="1">
        <w:r w:rsidRPr="008339E6">
          <w:rPr>
            <w:rStyle w:val="Hyperlink"/>
          </w:rPr>
          <w:t>http://www.ala.org/acrl/standards/ilframework</w:t>
        </w:r>
      </w:hyperlink>
    </w:p>
    <w:p w:rsidR="00D82509" w:rsidRPr="0027304B" w:rsidRDefault="008339E6" w:rsidP="006C04AF">
      <w:pPr>
        <w:jc w:val="center"/>
      </w:pPr>
      <w:r>
        <w:t xml:space="preserve">For additional </w:t>
      </w:r>
      <w:r w:rsidR="007A206B">
        <w:t>Framework</w:t>
      </w:r>
      <w:r>
        <w:t xml:space="preserve"> resources</w:t>
      </w:r>
      <w:r w:rsidR="007A206B">
        <w:t xml:space="preserve">, visit </w:t>
      </w:r>
      <w:hyperlink r:id="rId7" w:history="1">
        <w:r w:rsidR="007A206B" w:rsidRPr="008339E6">
          <w:rPr>
            <w:rStyle w:val="Hyperlink"/>
          </w:rPr>
          <w:t>acrl.ala.org/framework</w:t>
        </w:r>
      </w:hyperlink>
      <w:r w:rsidR="0027304B">
        <w:t xml:space="preserve"> and to </w:t>
      </w:r>
      <w:r w:rsidR="00BD4530">
        <w:t xml:space="preserve">subscribe to the Framework discussion list, go to </w:t>
      </w:r>
      <w:hyperlink r:id="rId8" w:history="1">
        <w:r w:rsidR="00BD4530" w:rsidRPr="0082370D">
          <w:rPr>
            <w:rStyle w:val="Hyperlink"/>
          </w:rPr>
          <w:t>http://lists.ala.org/sympa/info/acrlframe</w:t>
        </w:r>
      </w:hyperlink>
    </w:p>
    <w:p w:rsidR="00852B3E" w:rsidRDefault="00852B3E" w:rsidP="00852B3E">
      <w:pPr>
        <w:jc w:val="center"/>
        <w:rPr>
          <w:rFonts w:eastAsiaTheme="minorEastAsia"/>
          <w:color w:val="5A5A5A" w:themeColor="text1" w:themeTint="A5"/>
          <w:spacing w:val="15"/>
        </w:rPr>
      </w:pPr>
      <w:r>
        <w:rPr>
          <w:noProof/>
        </w:rPr>
        <w:drawing>
          <wp:inline distT="0" distB="0" distL="0" distR="0">
            <wp:extent cx="2267712" cy="6126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 logo.png"/>
                    <pic:cNvPicPr/>
                  </pic:nvPicPr>
                  <pic:blipFill>
                    <a:blip r:embed="rId9">
                      <a:extLst>
                        <a:ext uri="{28A0092B-C50C-407E-A947-70E740481C1C}">
                          <a14:useLocalDpi xmlns:a14="http://schemas.microsoft.com/office/drawing/2010/main" val="0"/>
                        </a:ext>
                      </a:extLst>
                    </a:blip>
                    <a:stretch>
                      <a:fillRect/>
                    </a:stretch>
                  </pic:blipFill>
                  <pic:spPr>
                    <a:xfrm>
                      <a:off x="0" y="0"/>
                      <a:ext cx="2267712" cy="612648"/>
                    </a:xfrm>
                    <a:prstGeom prst="rect">
                      <a:avLst/>
                    </a:prstGeom>
                  </pic:spPr>
                </pic:pic>
              </a:graphicData>
            </a:graphic>
          </wp:inline>
        </w:drawing>
      </w:r>
      <w:r>
        <w:br w:type="page"/>
      </w:r>
    </w:p>
    <w:p w:rsidR="0027304B" w:rsidRPr="00D830AA" w:rsidRDefault="008B0E10" w:rsidP="0027304B">
      <w:pPr>
        <w:pStyle w:val="Subtitle"/>
        <w:spacing w:after="0"/>
        <w:rPr>
          <w:b/>
        </w:rPr>
      </w:pPr>
      <w:r w:rsidRPr="00D830AA">
        <w:rPr>
          <w:b/>
        </w:rPr>
        <w:lastRenderedPageBreak/>
        <w:t xml:space="preserve">The </w:t>
      </w:r>
      <w:r w:rsidR="00900414" w:rsidRPr="00D830AA">
        <w:rPr>
          <w:b/>
          <w:i/>
        </w:rPr>
        <w:t>Framework</w:t>
      </w:r>
      <w:r w:rsidR="0027304B" w:rsidRPr="00D830AA">
        <w:rPr>
          <w:b/>
        </w:rPr>
        <w:t>:</w:t>
      </w:r>
    </w:p>
    <w:p w:rsidR="00D830AA" w:rsidRPr="00D830AA" w:rsidRDefault="00FB7A24" w:rsidP="00D830AA">
      <w:pPr>
        <w:pStyle w:val="Subtitle"/>
        <w:numPr>
          <w:ilvl w:val="0"/>
          <w:numId w:val="3"/>
        </w:numPr>
        <w:spacing w:after="0"/>
        <w:rPr>
          <w:sz w:val="20"/>
          <w:szCs w:val="20"/>
        </w:rPr>
      </w:pPr>
      <w:r>
        <w:rPr>
          <w:sz w:val="20"/>
          <w:szCs w:val="20"/>
        </w:rPr>
        <w:t>C</w:t>
      </w:r>
      <w:r w:rsidR="00D830AA" w:rsidRPr="00D830AA">
        <w:rPr>
          <w:sz w:val="20"/>
          <w:szCs w:val="20"/>
        </w:rPr>
        <w:t>ombines</w:t>
      </w:r>
      <w:r w:rsidR="008B0E10" w:rsidRPr="00D830AA">
        <w:rPr>
          <w:sz w:val="20"/>
          <w:szCs w:val="20"/>
        </w:rPr>
        <w:t xml:space="preserve"> a cluster of interconnected core concepts, with flexible options for implemen</w:t>
      </w:r>
      <w:r w:rsidR="002B3B2F" w:rsidRPr="00D830AA">
        <w:rPr>
          <w:sz w:val="20"/>
          <w:szCs w:val="20"/>
        </w:rPr>
        <w:t>ta</w:t>
      </w:r>
      <w:r w:rsidR="008B0E10" w:rsidRPr="00D830AA">
        <w:rPr>
          <w:sz w:val="20"/>
          <w:szCs w:val="20"/>
        </w:rPr>
        <w:t>tion within each unique institut</w:t>
      </w:r>
      <w:r w:rsidR="005439EA">
        <w:rPr>
          <w:sz w:val="20"/>
          <w:szCs w:val="20"/>
        </w:rPr>
        <w:t>ional and disciplinary co</w:t>
      </w:r>
      <w:r w:rsidR="00D830AA" w:rsidRPr="00D830AA">
        <w:rPr>
          <w:sz w:val="20"/>
          <w:szCs w:val="20"/>
        </w:rPr>
        <w:t>ntext</w:t>
      </w:r>
      <w:r>
        <w:rPr>
          <w:sz w:val="20"/>
          <w:szCs w:val="20"/>
        </w:rPr>
        <w:t>.</w:t>
      </w:r>
    </w:p>
    <w:p w:rsidR="00D830AA" w:rsidRPr="00D830AA" w:rsidRDefault="00FB7A24" w:rsidP="00D830AA">
      <w:pPr>
        <w:pStyle w:val="Subtitle"/>
        <w:numPr>
          <w:ilvl w:val="0"/>
          <w:numId w:val="3"/>
        </w:numPr>
        <w:spacing w:after="0"/>
        <w:rPr>
          <w:sz w:val="20"/>
          <w:szCs w:val="20"/>
        </w:rPr>
      </w:pPr>
      <w:r>
        <w:rPr>
          <w:sz w:val="20"/>
          <w:szCs w:val="20"/>
        </w:rPr>
        <w:t>E</w:t>
      </w:r>
      <w:r w:rsidR="00900414" w:rsidRPr="00D830AA">
        <w:rPr>
          <w:sz w:val="20"/>
          <w:szCs w:val="20"/>
        </w:rPr>
        <w:t>nvisions information literacy as</w:t>
      </w:r>
      <w:r w:rsidR="002B3B2F" w:rsidRPr="00D830AA">
        <w:rPr>
          <w:sz w:val="20"/>
          <w:szCs w:val="20"/>
        </w:rPr>
        <w:t xml:space="preserve"> the set of integrated abilities encompassing the reflective discovery of information, the understanding of how information is produced and value</w:t>
      </w:r>
      <w:r w:rsidR="00932AA7" w:rsidRPr="00D830AA">
        <w:rPr>
          <w:sz w:val="20"/>
          <w:szCs w:val="20"/>
        </w:rPr>
        <w:t>d</w:t>
      </w:r>
      <w:r w:rsidR="002B3B2F" w:rsidRPr="00D830AA">
        <w:rPr>
          <w:sz w:val="20"/>
          <w:szCs w:val="20"/>
        </w:rPr>
        <w:t>, and the use of information in creating new knowledge and participating ethicall</w:t>
      </w:r>
      <w:r w:rsidR="00D830AA" w:rsidRPr="00D830AA">
        <w:rPr>
          <w:sz w:val="20"/>
          <w:szCs w:val="20"/>
        </w:rPr>
        <w:t>y in communities of learning</w:t>
      </w:r>
      <w:r>
        <w:rPr>
          <w:sz w:val="20"/>
          <w:szCs w:val="20"/>
        </w:rPr>
        <w:t>.</w:t>
      </w:r>
      <w:r w:rsidR="00900414" w:rsidRPr="00D830AA">
        <w:rPr>
          <w:sz w:val="20"/>
          <w:szCs w:val="20"/>
        </w:rPr>
        <w:t xml:space="preserve"> </w:t>
      </w:r>
    </w:p>
    <w:p w:rsidR="00A37729" w:rsidRPr="00D830AA" w:rsidRDefault="00FB7A24" w:rsidP="0027304B">
      <w:pPr>
        <w:pStyle w:val="Subtitle"/>
        <w:numPr>
          <w:ilvl w:val="0"/>
          <w:numId w:val="3"/>
        </w:numPr>
        <w:rPr>
          <w:sz w:val="20"/>
          <w:szCs w:val="20"/>
        </w:rPr>
        <w:sectPr w:rsidR="00A37729" w:rsidRPr="00D830AA" w:rsidSect="008B0E10">
          <w:type w:val="continuous"/>
          <w:pgSz w:w="12240" w:h="15840"/>
          <w:pgMar w:top="720" w:right="720" w:bottom="720" w:left="720" w:header="720" w:footer="720" w:gutter="0"/>
          <w:cols w:space="720"/>
          <w:docGrid w:linePitch="360"/>
        </w:sectPr>
      </w:pPr>
      <w:r>
        <w:rPr>
          <w:sz w:val="20"/>
          <w:szCs w:val="20"/>
        </w:rPr>
        <w:t>P</w:t>
      </w:r>
      <w:r w:rsidR="00900414" w:rsidRPr="00D830AA">
        <w:rPr>
          <w:sz w:val="20"/>
          <w:szCs w:val="20"/>
        </w:rPr>
        <w:t>rovides the foundation for collaborative instruction</w:t>
      </w:r>
      <w:r w:rsidR="00852B3E" w:rsidRPr="00D830AA">
        <w:rPr>
          <w:sz w:val="20"/>
          <w:szCs w:val="20"/>
        </w:rPr>
        <w:t>al</w:t>
      </w:r>
      <w:r w:rsidR="00900414" w:rsidRPr="00D830AA">
        <w:rPr>
          <w:sz w:val="20"/>
          <w:szCs w:val="20"/>
        </w:rPr>
        <w:t xml:space="preserve"> design</w:t>
      </w:r>
      <w:r w:rsidR="00852B3E" w:rsidRPr="00D830AA">
        <w:rPr>
          <w:sz w:val="20"/>
          <w:szCs w:val="20"/>
        </w:rPr>
        <w:t xml:space="preserve"> and assessment</w:t>
      </w:r>
      <w:r w:rsidR="00900414" w:rsidRPr="00D830AA">
        <w:rPr>
          <w:sz w:val="20"/>
          <w:szCs w:val="20"/>
        </w:rPr>
        <w:t xml:space="preserve"> to scaffold learner progression </w:t>
      </w:r>
      <w:r w:rsidR="00932AA7" w:rsidRPr="00D830AA">
        <w:rPr>
          <w:sz w:val="20"/>
          <w:szCs w:val="20"/>
        </w:rPr>
        <w:t xml:space="preserve">in all the frames </w:t>
      </w:r>
      <w:r w:rsidR="00900414" w:rsidRPr="00D830AA">
        <w:rPr>
          <w:sz w:val="20"/>
          <w:szCs w:val="20"/>
        </w:rPr>
        <w:t xml:space="preserve">from novice to expert in their understanding of the core </w:t>
      </w:r>
      <w:r w:rsidR="00402FE2">
        <w:rPr>
          <w:sz w:val="20"/>
          <w:szCs w:val="20"/>
        </w:rPr>
        <w:t xml:space="preserve">information literacy </w:t>
      </w:r>
      <w:r w:rsidR="00900414" w:rsidRPr="00D830AA">
        <w:rPr>
          <w:sz w:val="20"/>
          <w:szCs w:val="20"/>
        </w:rPr>
        <w:t>concepts, knowledge practices, and dispositions through all stages of th</w:t>
      </w:r>
      <w:r w:rsidR="00D830AA">
        <w:rPr>
          <w:sz w:val="20"/>
          <w:szCs w:val="20"/>
        </w:rPr>
        <w:t>eir academic careers and beyond</w:t>
      </w:r>
      <w:r>
        <w:rPr>
          <w:sz w:val="20"/>
          <w:szCs w:val="20"/>
        </w:rPr>
        <w:t>.</w:t>
      </w:r>
      <w:r w:rsidR="00900414" w:rsidRPr="00D830AA">
        <w:rPr>
          <w:sz w:val="20"/>
          <w:szCs w:val="20"/>
        </w:rPr>
        <w:t xml:space="preserve">   </w:t>
      </w:r>
    </w:p>
    <w:p w:rsidR="002B3B2F" w:rsidRPr="00A56F26" w:rsidRDefault="00A56F26" w:rsidP="00BD4530">
      <w:pPr>
        <w:rPr>
          <w:b/>
        </w:rPr>
      </w:pPr>
      <w:r w:rsidRPr="00E313FF">
        <w:rPr>
          <w:b/>
        </w:rPr>
        <w:t>THE FRAME</w:t>
      </w:r>
      <w:r>
        <w:rPr>
          <w:b/>
        </w:rPr>
        <w:t>S</w:t>
      </w:r>
    </w:p>
    <w:p w:rsidR="00E313FF" w:rsidRPr="0018191C" w:rsidRDefault="009907A8" w:rsidP="002224A3">
      <w:pPr>
        <w:spacing w:after="0"/>
        <w:rPr>
          <w:b/>
          <w:sz w:val="20"/>
          <w:szCs w:val="20"/>
        </w:rPr>
      </w:pPr>
      <w:r w:rsidRPr="0018191C">
        <w:rPr>
          <w:b/>
          <w:sz w:val="20"/>
          <w:szCs w:val="20"/>
        </w:rPr>
        <w:t>AUTHORITY IS CONSTRUCTED AND CONTEXTUAL</w:t>
      </w:r>
    </w:p>
    <w:p w:rsidR="00E313FF" w:rsidRDefault="00E313FF" w:rsidP="002224A3">
      <w:pPr>
        <w:spacing w:after="0"/>
        <w:rPr>
          <w:rStyle w:val="Strong"/>
          <w:b w:val="0"/>
          <w:color w:val="303030"/>
          <w:sz w:val="20"/>
          <w:szCs w:val="20"/>
          <w:lang w:val="en"/>
        </w:rPr>
      </w:pPr>
      <w:r w:rsidRPr="0018191C">
        <w:rPr>
          <w:rStyle w:val="Strong"/>
          <w:b w:val="0"/>
          <w:color w:val="303030"/>
          <w:sz w:val="20"/>
          <w:szCs w:val="20"/>
          <w:lang w:val="en"/>
        </w:rPr>
        <w:t>Information resources reflect their creators’ expertise and credibility, and are evaluated based on the information need and the context in which the information will be used. Authority is constructed in that various communities may recognize different types of authority. It is contextual in that the information need may help to determine the level of authority required.</w:t>
      </w:r>
    </w:p>
    <w:p w:rsidR="00D830AA" w:rsidRPr="00E313FF" w:rsidRDefault="00D830AA" w:rsidP="00D830AA">
      <w:pPr>
        <w:spacing w:after="0"/>
        <w:rPr>
          <w:bCs/>
          <w:color w:val="303030"/>
          <w:sz w:val="20"/>
          <w:szCs w:val="20"/>
          <w:lang w:val="en"/>
        </w:rPr>
      </w:pPr>
    </w:p>
    <w:p w:rsidR="00E313FF" w:rsidRDefault="009907A8" w:rsidP="002224A3">
      <w:pPr>
        <w:shd w:val="clear" w:color="auto" w:fill="FFFFFF"/>
        <w:spacing w:after="0" w:line="240" w:lineRule="auto"/>
        <w:outlineLvl w:val="2"/>
        <w:rPr>
          <w:rFonts w:eastAsia="Times New Roman" w:cs="Times New Roman"/>
          <w:b/>
          <w:bCs/>
          <w:color w:val="303030"/>
          <w:sz w:val="20"/>
          <w:szCs w:val="20"/>
          <w:lang w:val="en"/>
        </w:rPr>
      </w:pPr>
      <w:r w:rsidRPr="008C0678">
        <w:rPr>
          <w:rFonts w:eastAsia="Times New Roman" w:cs="Times New Roman"/>
          <w:b/>
          <w:bCs/>
          <w:color w:val="303030"/>
          <w:sz w:val="20"/>
          <w:szCs w:val="20"/>
          <w:lang w:val="en"/>
        </w:rPr>
        <w:t>INFORMATION CREATION AS A PROCESS</w:t>
      </w:r>
      <w:bookmarkStart w:id="1" w:name="process"/>
      <w:bookmarkEnd w:id="1"/>
    </w:p>
    <w:p w:rsidR="00E313FF" w:rsidRDefault="00E313FF" w:rsidP="002224A3">
      <w:pPr>
        <w:shd w:val="clear" w:color="auto" w:fill="FFFFFF"/>
        <w:spacing w:after="100" w:afterAutospacing="1" w:line="240" w:lineRule="auto"/>
        <w:outlineLvl w:val="2"/>
        <w:rPr>
          <w:rFonts w:eastAsia="Times New Roman" w:cs="Times New Roman"/>
          <w:bCs/>
          <w:color w:val="303030"/>
          <w:sz w:val="20"/>
          <w:szCs w:val="20"/>
          <w:lang w:val="en"/>
        </w:rPr>
      </w:pPr>
      <w:r w:rsidRPr="0018191C">
        <w:rPr>
          <w:rFonts w:eastAsia="Times New Roman" w:cs="Times New Roman"/>
          <w:bCs/>
          <w:color w:val="303030"/>
          <w:sz w:val="20"/>
          <w:szCs w:val="20"/>
          <w:lang w:val="en"/>
        </w:rPr>
        <w:t xml:space="preserve">Information in any format is produced to convey a message and is shared via a selected delivery method. The iterative processes of researching, creating, revising, and disseminating information vary, and the resulting product reflects these differences. </w:t>
      </w:r>
    </w:p>
    <w:p w:rsidR="00E313FF" w:rsidRPr="0018191C" w:rsidRDefault="009907A8" w:rsidP="002224A3">
      <w:pPr>
        <w:pStyle w:val="Heading3"/>
        <w:shd w:val="clear" w:color="auto" w:fill="FFFFFF"/>
        <w:spacing w:after="0" w:afterAutospacing="0"/>
        <w:rPr>
          <w:rFonts w:asciiTheme="minorHAnsi" w:hAnsiTheme="minorHAnsi"/>
          <w:color w:val="303030"/>
          <w:sz w:val="20"/>
          <w:szCs w:val="20"/>
          <w:lang w:val="en"/>
        </w:rPr>
      </w:pPr>
      <w:r w:rsidRPr="0018191C">
        <w:rPr>
          <w:rFonts w:asciiTheme="minorHAnsi" w:hAnsiTheme="minorHAnsi"/>
          <w:color w:val="303030"/>
          <w:sz w:val="20"/>
          <w:szCs w:val="20"/>
          <w:lang w:val="en"/>
        </w:rPr>
        <w:t>INFORMATION HAS VALUE</w:t>
      </w:r>
      <w:bookmarkStart w:id="2" w:name="value"/>
      <w:bookmarkEnd w:id="2"/>
    </w:p>
    <w:p w:rsidR="00E313FF" w:rsidRPr="0018191C" w:rsidRDefault="00E313FF" w:rsidP="002224A3">
      <w:pPr>
        <w:pStyle w:val="NormalWeb"/>
        <w:shd w:val="clear" w:color="auto" w:fill="FFFFFF"/>
        <w:spacing w:before="0" w:after="0"/>
        <w:rPr>
          <w:rStyle w:val="Strong"/>
          <w:rFonts w:asciiTheme="minorHAnsi" w:eastAsiaTheme="minorHAnsi" w:hAnsiTheme="minorHAnsi" w:cstheme="minorBidi"/>
          <w:b w:val="0"/>
          <w:color w:val="303030"/>
          <w:sz w:val="20"/>
          <w:szCs w:val="20"/>
          <w:lang w:val="en"/>
        </w:rPr>
      </w:pPr>
      <w:r w:rsidRPr="0018191C">
        <w:rPr>
          <w:rStyle w:val="Strong"/>
          <w:rFonts w:asciiTheme="minorHAnsi" w:hAnsiTheme="minorHAnsi"/>
          <w:b w:val="0"/>
          <w:color w:val="303030"/>
          <w:sz w:val="20"/>
          <w:szCs w:val="20"/>
          <w:lang w:val="en"/>
        </w:rPr>
        <w:t>Information possesses several dimensions of value, including as a commodity, as a means of education, as a means to influence, and as a means of negotiating and understanding the world. Legal and socioeconomic interests influence information production and dissemination.</w:t>
      </w:r>
    </w:p>
    <w:p w:rsidR="00E313FF" w:rsidRPr="0018191C" w:rsidRDefault="009907A8" w:rsidP="002224A3">
      <w:pPr>
        <w:pStyle w:val="Heading3"/>
        <w:shd w:val="clear" w:color="auto" w:fill="FFFFFF"/>
        <w:spacing w:after="0" w:afterAutospacing="0"/>
        <w:rPr>
          <w:rFonts w:asciiTheme="minorHAnsi" w:hAnsiTheme="minorHAnsi"/>
          <w:color w:val="303030"/>
          <w:sz w:val="20"/>
          <w:szCs w:val="20"/>
          <w:lang w:val="en"/>
        </w:rPr>
      </w:pPr>
      <w:r w:rsidRPr="0018191C">
        <w:rPr>
          <w:rFonts w:asciiTheme="minorHAnsi" w:hAnsiTheme="minorHAnsi"/>
          <w:color w:val="303030"/>
          <w:sz w:val="20"/>
          <w:szCs w:val="20"/>
          <w:lang w:val="en"/>
        </w:rPr>
        <w:t>RESEARCH AS INQUIRY</w:t>
      </w:r>
      <w:bookmarkStart w:id="3" w:name="inquiry"/>
      <w:bookmarkEnd w:id="3"/>
    </w:p>
    <w:p w:rsidR="00E313FF" w:rsidRPr="0018191C" w:rsidRDefault="00E313FF" w:rsidP="002224A3">
      <w:pPr>
        <w:pStyle w:val="NormalWeb"/>
        <w:shd w:val="clear" w:color="auto" w:fill="FFFFFF"/>
        <w:spacing w:before="0" w:after="0"/>
        <w:rPr>
          <w:rStyle w:val="Strong"/>
          <w:rFonts w:asciiTheme="minorHAnsi" w:eastAsiaTheme="minorHAnsi" w:hAnsiTheme="minorHAnsi" w:cstheme="minorBidi"/>
          <w:b w:val="0"/>
          <w:color w:val="303030"/>
          <w:sz w:val="20"/>
          <w:szCs w:val="20"/>
          <w:lang w:val="en"/>
        </w:rPr>
      </w:pPr>
      <w:r w:rsidRPr="0018191C">
        <w:rPr>
          <w:rStyle w:val="Strong"/>
          <w:rFonts w:asciiTheme="minorHAnsi" w:hAnsiTheme="minorHAnsi"/>
          <w:b w:val="0"/>
          <w:color w:val="303030"/>
          <w:sz w:val="20"/>
          <w:szCs w:val="20"/>
          <w:lang w:val="en"/>
        </w:rPr>
        <w:t>Research is iterative and depends upon asking increasingly complex or new questions whose answers in turn develop additional questions or lines of inquiry in any field.</w:t>
      </w:r>
    </w:p>
    <w:p w:rsidR="00E313FF" w:rsidRPr="0018191C" w:rsidRDefault="009907A8" w:rsidP="002224A3">
      <w:pPr>
        <w:pStyle w:val="Heading3"/>
        <w:shd w:val="clear" w:color="auto" w:fill="FFFFFF"/>
        <w:spacing w:after="0" w:afterAutospacing="0"/>
        <w:rPr>
          <w:rFonts w:asciiTheme="minorHAnsi" w:hAnsiTheme="minorHAnsi"/>
          <w:color w:val="303030"/>
          <w:sz w:val="20"/>
          <w:szCs w:val="20"/>
          <w:lang w:val="en"/>
        </w:rPr>
      </w:pPr>
      <w:r w:rsidRPr="0018191C">
        <w:rPr>
          <w:rFonts w:asciiTheme="minorHAnsi" w:hAnsiTheme="minorHAnsi"/>
          <w:color w:val="303030"/>
          <w:sz w:val="20"/>
          <w:szCs w:val="20"/>
          <w:lang w:val="en"/>
        </w:rPr>
        <w:t>SCHOLARSHIP AS CONVERSATION</w:t>
      </w:r>
      <w:bookmarkStart w:id="4" w:name="conversation"/>
      <w:bookmarkEnd w:id="4"/>
    </w:p>
    <w:p w:rsidR="00E313FF" w:rsidRPr="0018191C" w:rsidRDefault="00E313FF" w:rsidP="002224A3">
      <w:pPr>
        <w:pStyle w:val="NormalWeb"/>
        <w:shd w:val="clear" w:color="auto" w:fill="FFFFFF"/>
        <w:spacing w:before="0" w:after="0"/>
        <w:rPr>
          <w:rStyle w:val="Strong"/>
          <w:rFonts w:asciiTheme="minorHAnsi" w:eastAsiaTheme="minorHAnsi" w:hAnsiTheme="minorHAnsi" w:cstheme="minorBidi"/>
          <w:b w:val="0"/>
          <w:color w:val="303030"/>
          <w:sz w:val="20"/>
          <w:szCs w:val="20"/>
          <w:lang w:val="en"/>
        </w:rPr>
      </w:pPr>
      <w:r w:rsidRPr="0018191C">
        <w:rPr>
          <w:rStyle w:val="Strong"/>
          <w:rFonts w:asciiTheme="minorHAnsi" w:hAnsiTheme="minorHAnsi"/>
          <w:b w:val="0"/>
          <w:color w:val="303030"/>
          <w:sz w:val="20"/>
          <w:szCs w:val="20"/>
          <w:lang w:val="en"/>
        </w:rPr>
        <w:t>Communities of scholars, researchers, or professionals engage in sustained discourse with new insights and discoveries occurring over time as a result of varied perspectives and interpretations.</w:t>
      </w:r>
    </w:p>
    <w:p w:rsidR="00D830AA" w:rsidRDefault="009907A8" w:rsidP="004B1732">
      <w:pPr>
        <w:pStyle w:val="Heading3"/>
        <w:shd w:val="clear" w:color="auto" w:fill="FFFFFF"/>
        <w:spacing w:after="0" w:afterAutospacing="0"/>
        <w:rPr>
          <w:rFonts w:asciiTheme="minorHAnsi" w:hAnsiTheme="minorHAnsi"/>
          <w:color w:val="303030"/>
          <w:sz w:val="20"/>
          <w:szCs w:val="20"/>
          <w:lang w:val="en"/>
        </w:rPr>
      </w:pPr>
      <w:r w:rsidRPr="0018191C">
        <w:rPr>
          <w:rFonts w:asciiTheme="minorHAnsi" w:hAnsiTheme="minorHAnsi"/>
          <w:color w:val="303030"/>
          <w:sz w:val="20"/>
          <w:szCs w:val="20"/>
          <w:lang w:val="en"/>
        </w:rPr>
        <w:t>SEARCHING AS STRATEGIC EXPLORATION</w:t>
      </w:r>
      <w:bookmarkStart w:id="5" w:name="exploration"/>
      <w:bookmarkEnd w:id="5"/>
    </w:p>
    <w:p w:rsidR="00A37729" w:rsidRPr="00D830AA" w:rsidRDefault="00E313FF" w:rsidP="004B1732">
      <w:pPr>
        <w:pStyle w:val="Heading3"/>
        <w:shd w:val="clear" w:color="auto" w:fill="FFFFFF"/>
        <w:spacing w:before="0" w:beforeAutospacing="0"/>
        <w:rPr>
          <w:rStyle w:val="Strong"/>
          <w:rFonts w:asciiTheme="minorHAnsi" w:hAnsiTheme="minorHAnsi"/>
          <w:b/>
          <w:bCs/>
          <w:color w:val="303030"/>
          <w:sz w:val="20"/>
          <w:szCs w:val="20"/>
          <w:lang w:val="en"/>
        </w:rPr>
      </w:pPr>
      <w:r w:rsidRPr="0018191C">
        <w:rPr>
          <w:rStyle w:val="Strong"/>
          <w:rFonts w:asciiTheme="minorHAnsi" w:hAnsiTheme="minorHAnsi"/>
          <w:color w:val="303030"/>
          <w:sz w:val="20"/>
          <w:szCs w:val="20"/>
          <w:lang w:val="en"/>
        </w:rPr>
        <w:t>Searching for information is often nonlinear and iterative, requiring the evaluation of a range of information sources and the mental flexibility to pursue alternate avenues as new understanding develops.</w:t>
      </w:r>
      <w:r w:rsidR="00BD4530">
        <w:rPr>
          <w:rStyle w:val="Strong"/>
          <w:rFonts w:asciiTheme="minorHAnsi" w:hAnsiTheme="minorHAnsi"/>
          <w:b/>
          <w:color w:val="303030"/>
          <w:sz w:val="20"/>
          <w:szCs w:val="20"/>
          <w:lang w:val="en"/>
        </w:rPr>
        <w:br w:type="column"/>
      </w:r>
      <w:r w:rsidR="00900414" w:rsidRPr="00D830AA">
        <w:rPr>
          <w:rStyle w:val="Strong"/>
          <w:rFonts w:asciiTheme="minorHAnsi" w:hAnsiTheme="minorHAnsi"/>
          <w:b/>
          <w:color w:val="303030"/>
          <w:sz w:val="22"/>
          <w:szCs w:val="22"/>
          <w:lang w:val="en"/>
        </w:rPr>
        <w:t>THE QUESTIONS THAT LEAD TO LEARNING</w:t>
      </w:r>
    </w:p>
    <w:p w:rsidR="00BD4530" w:rsidRPr="006B12F8" w:rsidRDefault="00BD4530" w:rsidP="006B12F8">
      <w:pPr>
        <w:spacing w:after="0"/>
        <w:rPr>
          <w:rStyle w:val="Strong"/>
          <w:b w:val="0"/>
          <w:color w:val="303030"/>
          <w:sz w:val="20"/>
          <w:szCs w:val="20"/>
          <w:lang w:val="en"/>
        </w:rPr>
      </w:pPr>
    </w:p>
    <w:p w:rsidR="002B3B2F" w:rsidRPr="003808D0" w:rsidRDefault="002B3B2F" w:rsidP="002224A3">
      <w:pPr>
        <w:pStyle w:val="ListParagraph"/>
        <w:numPr>
          <w:ilvl w:val="0"/>
          <w:numId w:val="1"/>
        </w:numPr>
        <w:spacing w:after="0"/>
        <w:rPr>
          <w:rStyle w:val="Strong"/>
          <w:b w:val="0"/>
          <w:color w:val="303030"/>
          <w:sz w:val="20"/>
          <w:szCs w:val="20"/>
          <w:lang w:val="en"/>
        </w:rPr>
      </w:pPr>
      <w:r w:rsidRPr="003808D0">
        <w:rPr>
          <w:rStyle w:val="Strong"/>
          <w:b w:val="0"/>
          <w:color w:val="303030"/>
          <w:sz w:val="20"/>
          <w:szCs w:val="20"/>
          <w:lang w:val="en"/>
        </w:rPr>
        <w:t xml:space="preserve">Can learners define different types of authority? </w:t>
      </w:r>
    </w:p>
    <w:p w:rsidR="002B3B2F" w:rsidRPr="003808D0" w:rsidRDefault="002B3B2F" w:rsidP="002224A3">
      <w:pPr>
        <w:pStyle w:val="ListParagraph"/>
        <w:numPr>
          <w:ilvl w:val="0"/>
          <w:numId w:val="1"/>
        </w:numPr>
        <w:spacing w:after="0"/>
        <w:rPr>
          <w:rStyle w:val="Strong"/>
          <w:b w:val="0"/>
          <w:color w:val="303030"/>
          <w:sz w:val="20"/>
          <w:szCs w:val="20"/>
          <w:lang w:val="en"/>
        </w:rPr>
      </w:pPr>
      <w:r w:rsidRPr="003808D0">
        <w:rPr>
          <w:rStyle w:val="Strong"/>
          <w:b w:val="0"/>
          <w:color w:val="303030"/>
          <w:sz w:val="20"/>
          <w:szCs w:val="20"/>
          <w:lang w:val="en"/>
        </w:rPr>
        <w:t>Are learners developing an open mind when encountering varied and sometimes conflicting perspectives?</w:t>
      </w:r>
    </w:p>
    <w:p w:rsidR="002B3B2F" w:rsidRDefault="002B3B2F" w:rsidP="002224A3">
      <w:pPr>
        <w:spacing w:after="0"/>
        <w:rPr>
          <w:rStyle w:val="Strong"/>
          <w:b w:val="0"/>
          <w:color w:val="303030"/>
          <w:sz w:val="20"/>
          <w:szCs w:val="20"/>
          <w:lang w:val="en"/>
        </w:rPr>
      </w:pPr>
    </w:p>
    <w:p w:rsidR="002B3B2F" w:rsidRDefault="002B3B2F" w:rsidP="002224A3">
      <w:pPr>
        <w:spacing w:after="0"/>
        <w:rPr>
          <w:rStyle w:val="Strong"/>
          <w:b w:val="0"/>
          <w:color w:val="303030"/>
          <w:sz w:val="20"/>
          <w:szCs w:val="20"/>
          <w:lang w:val="en"/>
        </w:rPr>
      </w:pPr>
    </w:p>
    <w:p w:rsidR="00BD4530" w:rsidRDefault="00BD4530" w:rsidP="00D830AA">
      <w:pPr>
        <w:shd w:val="clear" w:color="auto" w:fill="FFFFFF"/>
        <w:spacing w:after="0" w:line="240" w:lineRule="auto"/>
        <w:outlineLvl w:val="2"/>
        <w:rPr>
          <w:rFonts w:eastAsia="Times New Roman" w:cs="Times New Roman"/>
          <w:bCs/>
          <w:color w:val="303030"/>
          <w:sz w:val="20"/>
          <w:szCs w:val="20"/>
          <w:lang w:val="en"/>
        </w:rPr>
      </w:pPr>
    </w:p>
    <w:p w:rsidR="006B12F8" w:rsidRPr="00D830AA" w:rsidRDefault="006B12F8" w:rsidP="00D830AA">
      <w:pPr>
        <w:shd w:val="clear" w:color="auto" w:fill="FFFFFF"/>
        <w:spacing w:after="0" w:line="240" w:lineRule="auto"/>
        <w:outlineLvl w:val="2"/>
        <w:rPr>
          <w:rFonts w:eastAsia="Times New Roman" w:cs="Times New Roman"/>
          <w:bCs/>
          <w:color w:val="303030"/>
          <w:sz w:val="20"/>
          <w:szCs w:val="20"/>
          <w:lang w:val="en"/>
        </w:rPr>
      </w:pPr>
    </w:p>
    <w:p w:rsidR="002B3B2F" w:rsidRDefault="002B3B2F" w:rsidP="002224A3">
      <w:pPr>
        <w:pStyle w:val="ListParagraph"/>
        <w:numPr>
          <w:ilvl w:val="0"/>
          <w:numId w:val="1"/>
        </w:numPr>
        <w:shd w:val="clear" w:color="auto" w:fill="FFFFFF"/>
        <w:spacing w:after="0" w:line="240" w:lineRule="auto"/>
        <w:outlineLvl w:val="2"/>
        <w:rPr>
          <w:rFonts w:eastAsia="Times New Roman" w:cs="Times New Roman"/>
          <w:bCs/>
          <w:color w:val="303030"/>
          <w:sz w:val="20"/>
          <w:szCs w:val="20"/>
          <w:lang w:val="en"/>
        </w:rPr>
      </w:pPr>
      <w:r w:rsidRPr="003808D0">
        <w:rPr>
          <w:rFonts w:eastAsia="Times New Roman" w:cs="Times New Roman"/>
          <w:bCs/>
          <w:color w:val="303030"/>
          <w:sz w:val="20"/>
          <w:szCs w:val="20"/>
          <w:lang w:val="en"/>
        </w:rPr>
        <w:t xml:space="preserve">Can learners articulate the capabilities and constraints of information developed through various creation processes?  </w:t>
      </w:r>
    </w:p>
    <w:p w:rsidR="002B3B2F" w:rsidRDefault="002B3B2F" w:rsidP="002224A3">
      <w:pPr>
        <w:pStyle w:val="ListParagraph"/>
        <w:numPr>
          <w:ilvl w:val="0"/>
          <w:numId w:val="1"/>
        </w:numPr>
        <w:shd w:val="clear" w:color="auto" w:fill="FFFFFF"/>
        <w:spacing w:after="0" w:line="240" w:lineRule="auto"/>
        <w:outlineLvl w:val="2"/>
        <w:rPr>
          <w:rFonts w:eastAsia="Times New Roman" w:cs="Times New Roman"/>
          <w:bCs/>
          <w:color w:val="303030"/>
          <w:sz w:val="20"/>
          <w:szCs w:val="20"/>
          <w:lang w:val="en"/>
        </w:rPr>
      </w:pPr>
      <w:r w:rsidRPr="003808D0">
        <w:rPr>
          <w:rFonts w:eastAsia="Times New Roman" w:cs="Times New Roman"/>
          <w:bCs/>
          <w:color w:val="303030"/>
          <w:sz w:val="20"/>
          <w:szCs w:val="20"/>
          <w:lang w:val="en"/>
        </w:rPr>
        <w:t>Do learners understand that different methods of information dissemination with different purposes are available for their use?</w:t>
      </w:r>
    </w:p>
    <w:p w:rsidR="004B1732" w:rsidRDefault="004B1732" w:rsidP="004B1732">
      <w:pPr>
        <w:shd w:val="clear" w:color="auto" w:fill="FFFFFF"/>
        <w:spacing w:after="0" w:line="240" w:lineRule="auto"/>
        <w:outlineLvl w:val="2"/>
        <w:rPr>
          <w:rFonts w:eastAsia="Times New Roman" w:cs="Times New Roman"/>
          <w:bCs/>
          <w:color w:val="303030"/>
          <w:sz w:val="20"/>
          <w:szCs w:val="20"/>
          <w:lang w:val="en"/>
        </w:rPr>
      </w:pPr>
    </w:p>
    <w:p w:rsidR="004B1732" w:rsidRPr="004B1732" w:rsidRDefault="004B1732" w:rsidP="004B1732">
      <w:pPr>
        <w:shd w:val="clear" w:color="auto" w:fill="FFFFFF"/>
        <w:spacing w:after="0" w:line="240" w:lineRule="auto"/>
        <w:outlineLvl w:val="2"/>
        <w:rPr>
          <w:rFonts w:eastAsia="Times New Roman" w:cs="Times New Roman"/>
          <w:bCs/>
          <w:color w:val="303030"/>
          <w:sz w:val="20"/>
          <w:szCs w:val="20"/>
          <w:lang w:val="en"/>
        </w:rPr>
      </w:pPr>
    </w:p>
    <w:p w:rsidR="002B3B2F" w:rsidRDefault="002B3B2F" w:rsidP="002224A3">
      <w:pPr>
        <w:pStyle w:val="NormalWeb"/>
        <w:numPr>
          <w:ilvl w:val="0"/>
          <w:numId w:val="1"/>
        </w:numPr>
        <w:shd w:val="clear" w:color="auto" w:fill="FFFFFF"/>
        <w:spacing w:before="0" w:after="0"/>
        <w:rPr>
          <w:rFonts w:asciiTheme="minorHAnsi" w:hAnsiTheme="minorHAnsi"/>
          <w:bCs/>
          <w:color w:val="303030"/>
          <w:sz w:val="20"/>
          <w:szCs w:val="20"/>
          <w:lang w:val="en"/>
        </w:rPr>
      </w:pPr>
      <w:r w:rsidRPr="0018191C">
        <w:rPr>
          <w:rFonts w:asciiTheme="minorHAnsi" w:hAnsiTheme="minorHAnsi"/>
          <w:bCs/>
          <w:color w:val="303030"/>
          <w:sz w:val="20"/>
          <w:szCs w:val="20"/>
          <w:lang w:val="en"/>
        </w:rPr>
        <w:t xml:space="preserve">Do learners give credit to the original ideas of others through proper attribution and citation? </w:t>
      </w:r>
    </w:p>
    <w:p w:rsidR="002B3B2F" w:rsidRDefault="002B3B2F" w:rsidP="002224A3">
      <w:pPr>
        <w:pStyle w:val="NormalWeb"/>
        <w:numPr>
          <w:ilvl w:val="0"/>
          <w:numId w:val="1"/>
        </w:numPr>
        <w:shd w:val="clear" w:color="auto" w:fill="FFFFFF"/>
        <w:spacing w:before="0" w:after="0"/>
        <w:rPr>
          <w:rFonts w:asciiTheme="minorHAnsi" w:hAnsiTheme="minorHAnsi"/>
          <w:bCs/>
          <w:color w:val="303030"/>
          <w:sz w:val="20"/>
          <w:szCs w:val="20"/>
          <w:lang w:val="en"/>
        </w:rPr>
      </w:pPr>
      <w:r w:rsidRPr="0018191C">
        <w:rPr>
          <w:rFonts w:asciiTheme="minorHAnsi" w:hAnsiTheme="minorHAnsi"/>
          <w:bCs/>
          <w:color w:val="303030"/>
          <w:sz w:val="20"/>
          <w:szCs w:val="20"/>
          <w:lang w:val="en"/>
        </w:rPr>
        <w:t>Do learners respect the original ideas of others?</w:t>
      </w:r>
    </w:p>
    <w:p w:rsidR="002B3B2F" w:rsidRDefault="002B3B2F" w:rsidP="002224A3">
      <w:pPr>
        <w:pStyle w:val="NormalWeb"/>
        <w:shd w:val="clear" w:color="auto" w:fill="FFFFFF"/>
        <w:spacing w:before="0" w:after="0"/>
        <w:rPr>
          <w:rFonts w:asciiTheme="minorHAnsi" w:hAnsiTheme="minorHAnsi"/>
          <w:bCs/>
          <w:color w:val="303030"/>
          <w:sz w:val="20"/>
          <w:szCs w:val="20"/>
          <w:lang w:val="en"/>
        </w:rPr>
      </w:pPr>
    </w:p>
    <w:p w:rsidR="002B3B2F" w:rsidRDefault="002B3B2F" w:rsidP="002224A3">
      <w:pPr>
        <w:pStyle w:val="NormalWeb"/>
        <w:shd w:val="clear" w:color="auto" w:fill="FFFFFF"/>
        <w:spacing w:before="0" w:after="0"/>
        <w:rPr>
          <w:rFonts w:asciiTheme="minorHAnsi" w:hAnsiTheme="minorHAnsi"/>
          <w:bCs/>
          <w:color w:val="303030"/>
          <w:sz w:val="20"/>
          <w:szCs w:val="20"/>
          <w:lang w:val="en"/>
        </w:rPr>
      </w:pPr>
    </w:p>
    <w:p w:rsidR="002B3B2F" w:rsidRDefault="002B3B2F" w:rsidP="002224A3">
      <w:pPr>
        <w:pStyle w:val="NormalWeb"/>
        <w:shd w:val="clear" w:color="auto" w:fill="FFFFFF"/>
        <w:spacing w:before="0" w:after="0"/>
        <w:rPr>
          <w:rFonts w:asciiTheme="minorHAnsi" w:hAnsiTheme="minorHAnsi"/>
          <w:bCs/>
          <w:color w:val="303030"/>
          <w:sz w:val="20"/>
          <w:szCs w:val="20"/>
          <w:lang w:val="en"/>
        </w:rPr>
      </w:pPr>
    </w:p>
    <w:p w:rsidR="002B3B2F" w:rsidRDefault="002B3B2F" w:rsidP="002224A3">
      <w:pPr>
        <w:pStyle w:val="NormalWeb"/>
        <w:numPr>
          <w:ilvl w:val="0"/>
          <w:numId w:val="1"/>
        </w:numPr>
        <w:shd w:val="clear" w:color="auto" w:fill="FFFFFF"/>
        <w:spacing w:before="0" w:after="0"/>
        <w:rPr>
          <w:rStyle w:val="Strong"/>
          <w:rFonts w:asciiTheme="minorHAnsi" w:eastAsiaTheme="minorHAnsi" w:hAnsiTheme="minorHAnsi" w:cstheme="minorBidi"/>
          <w:b w:val="0"/>
          <w:color w:val="303030"/>
          <w:sz w:val="20"/>
          <w:szCs w:val="20"/>
          <w:lang w:val="en"/>
        </w:rPr>
      </w:pPr>
      <w:r w:rsidRPr="0018191C">
        <w:rPr>
          <w:rStyle w:val="Strong"/>
          <w:rFonts w:asciiTheme="minorHAnsi" w:hAnsiTheme="minorHAnsi"/>
          <w:b w:val="0"/>
          <w:color w:val="303030"/>
          <w:sz w:val="20"/>
          <w:szCs w:val="20"/>
          <w:lang w:val="en"/>
        </w:rPr>
        <w:t xml:space="preserve">Can learners determine an appropriate scope of investigation? </w:t>
      </w:r>
    </w:p>
    <w:p w:rsidR="002B3B2F" w:rsidRPr="00E313FF" w:rsidRDefault="002B3B2F" w:rsidP="002224A3">
      <w:pPr>
        <w:pStyle w:val="NormalWeb"/>
        <w:numPr>
          <w:ilvl w:val="0"/>
          <w:numId w:val="1"/>
        </w:numPr>
        <w:shd w:val="clear" w:color="auto" w:fill="FFFFFF"/>
        <w:spacing w:before="0" w:after="0"/>
        <w:rPr>
          <w:rFonts w:asciiTheme="minorHAnsi" w:hAnsiTheme="minorHAnsi"/>
          <w:bCs/>
          <w:color w:val="303030"/>
          <w:sz w:val="20"/>
          <w:szCs w:val="20"/>
          <w:lang w:val="en"/>
        </w:rPr>
      </w:pPr>
      <w:r w:rsidRPr="0018191C">
        <w:rPr>
          <w:rStyle w:val="Strong"/>
          <w:rFonts w:asciiTheme="minorHAnsi" w:hAnsiTheme="minorHAnsi"/>
          <w:b w:val="0"/>
          <w:color w:val="303030"/>
          <w:sz w:val="20"/>
          <w:szCs w:val="20"/>
          <w:lang w:val="en"/>
        </w:rPr>
        <w:t>Do learners consider research as open-ended exploration and engagement with information?</w:t>
      </w:r>
    </w:p>
    <w:p w:rsidR="002B3B2F" w:rsidRDefault="002B3B2F" w:rsidP="002224A3">
      <w:pPr>
        <w:keepLines/>
        <w:shd w:val="clear" w:color="auto" w:fill="FFFFFF"/>
        <w:spacing w:after="100" w:afterAutospacing="1" w:line="240" w:lineRule="auto"/>
        <w:outlineLvl w:val="2"/>
        <w:rPr>
          <w:rFonts w:eastAsia="Times New Roman" w:cs="Times New Roman"/>
          <w:b/>
          <w:bCs/>
          <w:color w:val="303030"/>
          <w:sz w:val="20"/>
          <w:szCs w:val="20"/>
          <w:lang w:val="en"/>
        </w:rPr>
      </w:pPr>
    </w:p>
    <w:p w:rsidR="002B3B2F" w:rsidRDefault="002B3B2F" w:rsidP="002224A3">
      <w:pPr>
        <w:pStyle w:val="NormalWeb"/>
        <w:numPr>
          <w:ilvl w:val="0"/>
          <w:numId w:val="1"/>
        </w:numPr>
        <w:shd w:val="clear" w:color="auto" w:fill="FFFFFF"/>
        <w:spacing w:before="0" w:after="0"/>
        <w:rPr>
          <w:rStyle w:val="Strong"/>
          <w:rFonts w:asciiTheme="minorHAnsi" w:eastAsiaTheme="minorHAnsi" w:hAnsiTheme="minorHAnsi" w:cstheme="minorBidi"/>
          <w:b w:val="0"/>
          <w:color w:val="303030"/>
          <w:sz w:val="20"/>
          <w:szCs w:val="20"/>
          <w:lang w:val="en"/>
        </w:rPr>
      </w:pPr>
      <w:r w:rsidRPr="0018191C">
        <w:rPr>
          <w:rStyle w:val="Strong"/>
          <w:rFonts w:asciiTheme="minorHAnsi" w:hAnsiTheme="minorHAnsi"/>
          <w:b w:val="0"/>
          <w:color w:val="303030"/>
          <w:sz w:val="20"/>
          <w:szCs w:val="20"/>
          <w:lang w:val="en"/>
        </w:rPr>
        <w:t xml:space="preserve">Can learners contribute to scholarly conversation at an appropriate level? </w:t>
      </w:r>
    </w:p>
    <w:p w:rsidR="002B3B2F" w:rsidRDefault="002B3B2F" w:rsidP="002224A3">
      <w:pPr>
        <w:pStyle w:val="NormalWeb"/>
        <w:numPr>
          <w:ilvl w:val="0"/>
          <w:numId w:val="1"/>
        </w:numPr>
        <w:shd w:val="clear" w:color="auto" w:fill="FFFFFF"/>
        <w:spacing w:before="0"/>
        <w:rPr>
          <w:rStyle w:val="Strong"/>
          <w:rFonts w:asciiTheme="minorHAnsi" w:eastAsiaTheme="minorHAnsi" w:hAnsiTheme="minorHAnsi" w:cstheme="minorBidi"/>
          <w:b w:val="0"/>
          <w:color w:val="303030"/>
          <w:sz w:val="20"/>
          <w:szCs w:val="20"/>
          <w:lang w:val="en"/>
        </w:rPr>
      </w:pPr>
      <w:r w:rsidRPr="0018191C">
        <w:rPr>
          <w:rStyle w:val="Strong"/>
          <w:rFonts w:asciiTheme="minorHAnsi" w:hAnsiTheme="minorHAnsi"/>
          <w:b w:val="0"/>
          <w:color w:val="303030"/>
          <w:sz w:val="20"/>
          <w:szCs w:val="20"/>
          <w:lang w:val="en"/>
        </w:rPr>
        <w:t>Do learners see themselves a contributors to scholarship rather than only consumers?</w:t>
      </w:r>
    </w:p>
    <w:p w:rsidR="002B3B2F" w:rsidRDefault="002B3B2F" w:rsidP="002B3B2F">
      <w:pPr>
        <w:pStyle w:val="NormalWeb"/>
        <w:shd w:val="clear" w:color="auto" w:fill="FFFFFF"/>
        <w:spacing w:before="0" w:after="0"/>
        <w:rPr>
          <w:rStyle w:val="Strong"/>
          <w:rFonts w:asciiTheme="minorHAnsi" w:hAnsiTheme="minorHAnsi"/>
          <w:b w:val="0"/>
          <w:color w:val="303030"/>
          <w:sz w:val="20"/>
          <w:szCs w:val="20"/>
          <w:lang w:val="en"/>
        </w:rPr>
      </w:pPr>
    </w:p>
    <w:p w:rsidR="002B3B2F" w:rsidRPr="00BD4530" w:rsidRDefault="002B3B2F" w:rsidP="002224A3">
      <w:pPr>
        <w:pStyle w:val="NormalWeb"/>
        <w:numPr>
          <w:ilvl w:val="0"/>
          <w:numId w:val="1"/>
        </w:numPr>
        <w:shd w:val="clear" w:color="auto" w:fill="FFFFFF"/>
        <w:spacing w:before="0" w:after="0"/>
        <w:rPr>
          <w:rStyle w:val="Strong"/>
          <w:rFonts w:asciiTheme="minorHAnsi" w:eastAsiaTheme="minorHAnsi" w:hAnsiTheme="minorHAnsi" w:cstheme="minorBidi"/>
          <w:b w:val="0"/>
          <w:color w:val="303030"/>
          <w:sz w:val="20"/>
          <w:szCs w:val="20"/>
          <w:lang w:val="en"/>
        </w:rPr>
      </w:pPr>
      <w:r w:rsidRPr="0018191C">
        <w:rPr>
          <w:rStyle w:val="Strong"/>
          <w:rFonts w:asciiTheme="minorHAnsi" w:hAnsiTheme="minorHAnsi"/>
          <w:b w:val="0"/>
          <w:color w:val="303030"/>
          <w:sz w:val="20"/>
          <w:szCs w:val="20"/>
          <w:lang w:val="en"/>
        </w:rPr>
        <w:t xml:space="preserve">Can learners utilize divergent and convergent thinking appropriately when searching? </w:t>
      </w:r>
    </w:p>
    <w:p w:rsidR="00BD4530" w:rsidRDefault="00BD4530" w:rsidP="00BD4530">
      <w:pPr>
        <w:pStyle w:val="NormalWeb"/>
        <w:numPr>
          <w:ilvl w:val="0"/>
          <w:numId w:val="1"/>
        </w:numPr>
        <w:shd w:val="clear" w:color="auto" w:fill="FFFFFF"/>
        <w:spacing w:before="0" w:after="0"/>
        <w:rPr>
          <w:rStyle w:val="Strong"/>
          <w:rFonts w:asciiTheme="minorHAnsi" w:eastAsiaTheme="minorHAnsi" w:hAnsiTheme="minorHAnsi" w:cstheme="minorBidi"/>
          <w:b w:val="0"/>
          <w:color w:val="303030"/>
          <w:sz w:val="20"/>
          <w:szCs w:val="20"/>
          <w:lang w:val="en"/>
        </w:rPr>
      </w:pPr>
      <w:r>
        <w:rPr>
          <w:rStyle w:val="Strong"/>
          <w:rFonts w:asciiTheme="minorHAnsi" w:eastAsiaTheme="minorHAnsi" w:hAnsiTheme="minorHAnsi" w:cstheme="minorBidi"/>
          <w:b w:val="0"/>
          <w:color w:val="303030"/>
          <w:sz w:val="20"/>
          <w:szCs w:val="20"/>
          <w:lang w:val="en"/>
        </w:rPr>
        <w:t>Do learners understand that first attempts at searching do not always produce adequate results?</w:t>
      </w:r>
    </w:p>
    <w:p w:rsidR="006A3770" w:rsidRDefault="006A3770" w:rsidP="006A3770">
      <w:pPr>
        <w:pStyle w:val="NormalWeb"/>
        <w:shd w:val="clear" w:color="auto" w:fill="FFFFFF"/>
        <w:spacing w:before="0" w:after="0"/>
        <w:rPr>
          <w:rStyle w:val="Strong"/>
          <w:rFonts w:asciiTheme="minorHAnsi" w:eastAsiaTheme="minorHAnsi" w:hAnsiTheme="minorHAnsi" w:cstheme="minorBidi"/>
          <w:b w:val="0"/>
          <w:color w:val="303030"/>
          <w:sz w:val="20"/>
          <w:szCs w:val="20"/>
          <w:lang w:val="en"/>
        </w:rPr>
        <w:sectPr w:rsidR="006A3770" w:rsidSect="002B3B2F">
          <w:type w:val="continuous"/>
          <w:pgSz w:w="12240" w:h="15840"/>
          <w:pgMar w:top="720" w:right="720" w:bottom="720" w:left="720" w:header="720" w:footer="720" w:gutter="0"/>
          <w:cols w:num="2" w:space="720"/>
          <w:docGrid w:linePitch="360"/>
        </w:sectPr>
      </w:pPr>
    </w:p>
    <w:p w:rsidR="00FB7A24" w:rsidRDefault="00FB7A24" w:rsidP="006A3770">
      <w:pPr>
        <w:pStyle w:val="NormalWeb"/>
        <w:shd w:val="clear" w:color="auto" w:fill="FFFFFF"/>
        <w:spacing w:before="0" w:after="0"/>
        <w:jc w:val="center"/>
        <w:rPr>
          <w:noProof/>
        </w:rPr>
      </w:pPr>
    </w:p>
    <w:p w:rsidR="006A3770" w:rsidRDefault="006A3770" w:rsidP="006A3770">
      <w:pPr>
        <w:pStyle w:val="NormalWeb"/>
        <w:shd w:val="clear" w:color="auto" w:fill="FFFFFF"/>
        <w:spacing w:before="0" w:after="0"/>
        <w:jc w:val="center"/>
        <w:rPr>
          <w:rStyle w:val="Strong"/>
          <w:rFonts w:asciiTheme="minorHAnsi" w:eastAsiaTheme="minorHAnsi" w:hAnsiTheme="minorHAnsi" w:cstheme="minorBidi"/>
          <w:b w:val="0"/>
          <w:color w:val="303030"/>
          <w:sz w:val="20"/>
          <w:szCs w:val="20"/>
          <w:lang w:val="en"/>
        </w:rPr>
      </w:pPr>
      <w:r>
        <w:rPr>
          <w:noProof/>
        </w:rPr>
        <w:drawing>
          <wp:inline distT="0" distB="0" distL="0" distR="0" wp14:anchorId="07BAE0B7" wp14:editId="274B81AE">
            <wp:extent cx="1828800" cy="4937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RL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493776"/>
                    </a:xfrm>
                    <a:prstGeom prst="rect">
                      <a:avLst/>
                    </a:prstGeom>
                  </pic:spPr>
                </pic:pic>
              </a:graphicData>
            </a:graphic>
          </wp:inline>
        </w:drawing>
      </w:r>
    </w:p>
    <w:sectPr w:rsidR="006A3770" w:rsidSect="006A377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25AF"/>
    <w:multiLevelType w:val="hybridMultilevel"/>
    <w:tmpl w:val="11809B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787756D"/>
    <w:multiLevelType w:val="hybridMultilevel"/>
    <w:tmpl w:val="1604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E7E5B"/>
    <w:multiLevelType w:val="hybridMultilevel"/>
    <w:tmpl w:val="9050E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FF"/>
    <w:rsid w:val="00027C23"/>
    <w:rsid w:val="00053111"/>
    <w:rsid w:val="001A4688"/>
    <w:rsid w:val="001D7359"/>
    <w:rsid w:val="002224A3"/>
    <w:rsid w:val="002257F2"/>
    <w:rsid w:val="0027304B"/>
    <w:rsid w:val="00293C6C"/>
    <w:rsid w:val="002B3B2F"/>
    <w:rsid w:val="0030006E"/>
    <w:rsid w:val="00330657"/>
    <w:rsid w:val="003808D0"/>
    <w:rsid w:val="00402FE2"/>
    <w:rsid w:val="00432135"/>
    <w:rsid w:val="004B1732"/>
    <w:rsid w:val="005439EA"/>
    <w:rsid w:val="006A3770"/>
    <w:rsid w:val="006B12F8"/>
    <w:rsid w:val="006C04AF"/>
    <w:rsid w:val="00791A89"/>
    <w:rsid w:val="00793615"/>
    <w:rsid w:val="007A206B"/>
    <w:rsid w:val="008339E6"/>
    <w:rsid w:val="00852B3E"/>
    <w:rsid w:val="008910D7"/>
    <w:rsid w:val="008B0E10"/>
    <w:rsid w:val="00900414"/>
    <w:rsid w:val="00932AA7"/>
    <w:rsid w:val="009907A8"/>
    <w:rsid w:val="00A37729"/>
    <w:rsid w:val="00A5666F"/>
    <w:rsid w:val="00A56F26"/>
    <w:rsid w:val="00AA32E8"/>
    <w:rsid w:val="00B460F4"/>
    <w:rsid w:val="00B557EE"/>
    <w:rsid w:val="00B73967"/>
    <w:rsid w:val="00B83403"/>
    <w:rsid w:val="00BD4530"/>
    <w:rsid w:val="00C70A44"/>
    <w:rsid w:val="00C7551C"/>
    <w:rsid w:val="00D82509"/>
    <w:rsid w:val="00D830AA"/>
    <w:rsid w:val="00DF43C7"/>
    <w:rsid w:val="00E313FF"/>
    <w:rsid w:val="00E45648"/>
    <w:rsid w:val="00EA7166"/>
    <w:rsid w:val="00FB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9CCE7-4BD5-4859-8CDC-34177C98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313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13FF"/>
    <w:rPr>
      <w:b/>
      <w:bCs/>
    </w:rPr>
  </w:style>
  <w:style w:type="character" w:customStyle="1" w:styleId="Heading3Char">
    <w:name w:val="Heading 3 Char"/>
    <w:basedOn w:val="DefaultParagraphFont"/>
    <w:link w:val="Heading3"/>
    <w:uiPriority w:val="9"/>
    <w:rsid w:val="00E313FF"/>
    <w:rPr>
      <w:rFonts w:ascii="Times New Roman" w:eastAsia="Times New Roman" w:hAnsi="Times New Roman" w:cs="Times New Roman"/>
      <w:b/>
      <w:bCs/>
      <w:sz w:val="27"/>
      <w:szCs w:val="27"/>
    </w:rPr>
  </w:style>
  <w:style w:type="paragraph" w:styleId="NormalWeb">
    <w:name w:val="Normal (Web)"/>
    <w:basedOn w:val="Normal"/>
    <w:uiPriority w:val="99"/>
    <w:unhideWhenUsed/>
    <w:rsid w:val="00E313FF"/>
    <w:pPr>
      <w:spacing w:before="240"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08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8D0"/>
    <w:rPr>
      <w:rFonts w:ascii="Segoe UI" w:hAnsi="Segoe UI" w:cs="Segoe UI"/>
      <w:sz w:val="18"/>
      <w:szCs w:val="18"/>
    </w:rPr>
  </w:style>
  <w:style w:type="paragraph" w:styleId="ListParagraph">
    <w:name w:val="List Paragraph"/>
    <w:basedOn w:val="Normal"/>
    <w:uiPriority w:val="34"/>
    <w:qFormat/>
    <w:rsid w:val="003808D0"/>
    <w:pPr>
      <w:ind w:left="720"/>
      <w:contextualSpacing/>
    </w:pPr>
  </w:style>
  <w:style w:type="paragraph" w:styleId="Subtitle">
    <w:name w:val="Subtitle"/>
    <w:basedOn w:val="Normal"/>
    <w:next w:val="Normal"/>
    <w:link w:val="SubtitleChar"/>
    <w:uiPriority w:val="11"/>
    <w:qFormat/>
    <w:rsid w:val="008B0E1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0E10"/>
    <w:rPr>
      <w:rFonts w:eastAsiaTheme="minorEastAsia"/>
      <w:color w:val="5A5A5A" w:themeColor="text1" w:themeTint="A5"/>
      <w:spacing w:val="15"/>
    </w:rPr>
  </w:style>
  <w:style w:type="character" w:styleId="Hyperlink">
    <w:name w:val="Hyperlink"/>
    <w:basedOn w:val="DefaultParagraphFont"/>
    <w:uiPriority w:val="99"/>
    <w:unhideWhenUsed/>
    <w:rsid w:val="00A377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ts.ala.org/sympa/info/acrlframe" TargetMode="External"/><Relationship Id="rId3" Type="http://schemas.openxmlformats.org/officeDocument/2006/relationships/settings" Target="settings.xml"/><Relationship Id="rId7" Type="http://schemas.openxmlformats.org/officeDocument/2006/relationships/hyperlink" Target="file:///C:\Users\Sharon\Documents\ACRL%20Framework%20handouts\acrl.ala.org\framewo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a.org/acrl/standards/ilframewor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 Mader</cp:lastModifiedBy>
  <cp:revision>2</cp:revision>
  <cp:lastPrinted>2015-03-24T19:25:00Z</cp:lastPrinted>
  <dcterms:created xsi:type="dcterms:W3CDTF">2016-07-15T20:37:00Z</dcterms:created>
  <dcterms:modified xsi:type="dcterms:W3CDTF">2016-07-15T20:37:00Z</dcterms:modified>
</cp:coreProperties>
</file>