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Back-Up Links For Online Articles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Should Internet Access be Free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https://perma.cc/PL7G-XXPT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Give Everybody the Internet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https://perma.cc/86V9-Y8D3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Digital prosperity: How broadband can deliver health and equity to all communities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https://perma.cc/UNL8-2FE7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hyperlink r:id="rId9">
        <w:r w:rsidDel="00000000" w:rsidR="00000000" w:rsidRPr="00000000">
          <w:rPr>
            <w:rFonts w:ascii="Calibri" w:cs="Calibri" w:eastAsia="Calibri" w:hAnsi="Calibri"/>
            <w:sz w:val="28"/>
            <w:szCs w:val="28"/>
            <w:highlight w:val="white"/>
            <w:rtl w:val="0"/>
          </w:rPr>
          <w:t xml:space="preserve">Understanding the Broadband Access Gap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https://perma.cc/KMF5-29KH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Basic internet access is not enough. We need universal connectivity!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https://perma.cc/R9UK-JXX9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53% of Americans Say the Internet Has Been Essential During the COVID-19 Outbreak </w:t>
      </w:r>
      <w:r w:rsidDel="00000000" w:rsidR="00000000" w:rsidRPr="00000000">
        <w:rPr>
          <w:rFonts w:ascii="Calibri" w:cs="Calibri" w:eastAsia="Calibri" w:hAnsi="Calibri"/>
          <w:color w:val="222222"/>
          <w:sz w:val="28"/>
          <w:szCs w:val="28"/>
          <w:highlight w:val="white"/>
          <w:rtl w:val="0"/>
        </w:rPr>
        <w:t xml:space="preserve">(Pew Research Center)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https://perma.cc/Q493-LBAC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Home broadband adoption, computer ownership vary by race, ethnicity in the U.S.</w:t>
      </w:r>
      <w:r w:rsidDel="00000000" w:rsidR="00000000" w:rsidRPr="00000000">
        <w:rPr>
          <w:rFonts w:ascii="Calibri" w:cs="Calibri" w:eastAsia="Calibri" w:hAnsi="Calibri"/>
          <w:color w:val="222222"/>
          <w:sz w:val="28"/>
          <w:szCs w:val="28"/>
          <w:highlight w:val="white"/>
          <w:rtl w:val="0"/>
        </w:rPr>
        <w:t xml:space="preserve"> (Pew Research Center):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highlight w:val="white"/>
            <w:u w:val="single"/>
            <w:rtl w:val="0"/>
          </w:rPr>
          <w:t xml:space="preserve">https://perma.cc/MLT3-A3KB</w:t>
        </w:r>
      </w:hyperlink>
      <w:r w:rsidDel="00000000" w:rsidR="00000000" w:rsidRPr="00000000">
        <w:rPr>
          <w:rFonts w:ascii="Calibri" w:cs="Calibri" w:eastAsia="Calibri" w:hAnsi="Calibri"/>
          <w:color w:val="222222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8"/>
          <w:szCs w:val="28"/>
          <w:highlight w:val="white"/>
          <w:rtl w:val="0"/>
        </w:rPr>
        <w:t xml:space="preserve">Opinion: Why treating the Internet as a public utility is bad for consumers</w:t>
      </w:r>
      <w:r w:rsidDel="00000000" w:rsidR="00000000" w:rsidRPr="00000000">
        <w:rPr>
          <w:rFonts w:ascii="Calibri" w:cs="Calibri" w:eastAsia="Calibri" w:hAnsi="Calibri"/>
          <w:color w:val="222222"/>
          <w:sz w:val="28"/>
          <w:szCs w:val="28"/>
          <w:highlight w:val="white"/>
          <w:rtl w:val="0"/>
        </w:rPr>
        <w:t xml:space="preserve"> (The Washington Post):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highlight w:val="white"/>
            <w:u w:val="single"/>
            <w:rtl w:val="0"/>
          </w:rPr>
          <w:t xml:space="preserve">https://perma.cc/P9E6-WJBT</w:t>
        </w:r>
      </w:hyperlink>
      <w:r w:rsidDel="00000000" w:rsidR="00000000" w:rsidRPr="00000000">
        <w:rPr>
          <w:rFonts w:ascii="Calibri" w:cs="Calibri" w:eastAsia="Calibri" w:hAnsi="Calibri"/>
          <w:color w:val="222222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8"/>
          <w:szCs w:val="28"/>
          <w:highlight w:val="white"/>
          <w:rtl w:val="0"/>
        </w:rPr>
        <w:t xml:space="preserve">Computer and Internet Use in the United States, 2018</w:t>
      </w:r>
      <w:r w:rsidDel="00000000" w:rsidR="00000000" w:rsidRPr="00000000">
        <w:rPr>
          <w:rFonts w:ascii="Calibri" w:cs="Calibri" w:eastAsia="Calibri" w:hAnsi="Calibri"/>
          <w:color w:val="222222"/>
          <w:sz w:val="28"/>
          <w:szCs w:val="28"/>
          <w:highlight w:val="white"/>
          <w:rtl w:val="0"/>
        </w:rPr>
        <w:t xml:space="preserve">, published in 2021 (U.S. Census Bureau):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highlight w:val="white"/>
            <w:u w:val="single"/>
            <w:rtl w:val="0"/>
          </w:rPr>
          <w:t xml:space="preserve">https://perma.cc/FA2H-SAJT</w:t>
        </w:r>
      </w:hyperlink>
      <w:r w:rsidDel="00000000" w:rsidR="00000000" w:rsidRPr="00000000">
        <w:rPr>
          <w:rFonts w:ascii="Calibri" w:cs="Calibri" w:eastAsia="Calibri" w:hAnsi="Calibri"/>
          <w:color w:val="222222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8"/>
          <w:szCs w:val="28"/>
          <w:rtl w:val="0"/>
        </w:rPr>
        <w:t xml:space="preserve">The Digital Divide: Facing a Crisis or Creating a Myth?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(MIT Press Direct):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https://perma.cc/WX83-PKF7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hyperlink r:id="rId17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Universal Broadband: Option, Right or Obligation?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(Journal of Human Values)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hyperlink r:id="rId18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highlight w:val="white"/>
            <w:u w:val="single"/>
            <w:rtl w:val="0"/>
          </w:rPr>
          <w:t xml:space="preserve">Who gets access to fast broadband? Evidence from Los Angeles County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hyperlink r:id="rId19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Mobile Technology and Home Broadband 2019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hyperlink r:id="rId20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Affordability &amp; Availability: Expanding Broadband In The Black Rural South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hyperlink r:id="rId21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Neighborhood broadband data makes it clear: We need an agenda to fight digital poverty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hyperlink r:id="rId22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Broadband Adoption in Low-Income Communities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(Social Science Research Council)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jointcenter.org/wp-content/uploads/2021/10/Affordability-Availability-Expanding-Broadband-in-the-Black-Rural-South.pdf" TargetMode="External"/><Relationship Id="rId11" Type="http://schemas.openxmlformats.org/officeDocument/2006/relationships/hyperlink" Target="https://perma.cc/R9UK-JXX9" TargetMode="External"/><Relationship Id="rId22" Type="http://schemas.openxmlformats.org/officeDocument/2006/relationships/hyperlink" Target="https://www.ssrc.org/publications/broadband-adoption-in-low-income-communities/" TargetMode="External"/><Relationship Id="rId10" Type="http://schemas.openxmlformats.org/officeDocument/2006/relationships/hyperlink" Target="https://perma.cc/KMF5-29KH" TargetMode="External"/><Relationship Id="rId21" Type="http://schemas.openxmlformats.org/officeDocument/2006/relationships/hyperlink" Target="https://www.brookings.edu/blog/the-avenue/2020/02/05/neighborhood-broadband-data-makes-it-clear-we-need-an-agenda-to-fight-digital-poverty/" TargetMode="External"/><Relationship Id="rId13" Type="http://schemas.openxmlformats.org/officeDocument/2006/relationships/hyperlink" Target="https://perma.cc/MLT3-A3KB" TargetMode="External"/><Relationship Id="rId12" Type="http://schemas.openxmlformats.org/officeDocument/2006/relationships/hyperlink" Target="https://perma.cc/Q493-LBA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uduser.gov/portal/pdredge/pdr_edge_featd_article_100614.html" TargetMode="External"/><Relationship Id="rId15" Type="http://schemas.openxmlformats.org/officeDocument/2006/relationships/hyperlink" Target="https://perma.cc/FA2H-SAJT" TargetMode="External"/><Relationship Id="rId14" Type="http://schemas.openxmlformats.org/officeDocument/2006/relationships/hyperlink" Target="https://perma.cc/P9E6-WJBT" TargetMode="External"/><Relationship Id="rId17" Type="http://schemas.openxmlformats.org/officeDocument/2006/relationships/hyperlink" Target="https://journals.sagepub.com/doi/10.1177/0971685817733569" TargetMode="External"/><Relationship Id="rId16" Type="http://schemas.openxmlformats.org/officeDocument/2006/relationships/hyperlink" Target="https://perma.cc/WX83-PKF7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pewresearch.org/internet/2019/06/13/mobile-technology-and-home-broadband-2019/" TargetMode="External"/><Relationship Id="rId6" Type="http://schemas.openxmlformats.org/officeDocument/2006/relationships/hyperlink" Target="https://perma.cc/PL7G-XXPT" TargetMode="External"/><Relationship Id="rId18" Type="http://schemas.openxmlformats.org/officeDocument/2006/relationships/hyperlink" Target="https://doi.org/10.1016/j.giq.2021.101594" TargetMode="External"/><Relationship Id="rId7" Type="http://schemas.openxmlformats.org/officeDocument/2006/relationships/hyperlink" Target="https://perma.cc/86V9-Y8D3" TargetMode="External"/><Relationship Id="rId8" Type="http://schemas.openxmlformats.org/officeDocument/2006/relationships/hyperlink" Target="https://perma.cc/UNL8-2FE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