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27C" w:rsidP="1A63C479" w:rsidRDefault="62EC1C6E" w14:paraId="2E938A80" w14:textId="706B5458">
      <w:pPr>
        <w:rPr>
          <w:rFonts w:ascii="Calibri Light" w:hAnsi="Calibri Light" w:eastAsia="ＭＳ ゴシック" w:cs="Times New Roman" w:asciiTheme="majorAscii" w:hAnsiTheme="majorAscii" w:eastAsiaTheme="majorEastAsia" w:cstheme="majorBidi"/>
          <w:color w:val="2F5496" w:themeColor="accent1" w:themeShade="BF"/>
          <w:sz w:val="32"/>
          <w:szCs w:val="32"/>
        </w:rPr>
      </w:pPr>
      <w:r w:rsidRPr="1A63C479" w:rsidR="6B8A9C53">
        <w:rPr>
          <w:rFonts w:ascii="Calibri Light" w:hAnsi="Calibri Light" w:eastAsia="ＭＳ ゴシック" w:cs="Times New Roman" w:asciiTheme="majorAscii" w:hAnsiTheme="majorAscii" w:eastAsiaTheme="majorEastAsia" w:cstheme="majorBidi"/>
          <w:color w:val="2F5496" w:themeColor="accent1" w:themeTint="FF" w:themeShade="BF"/>
          <w:sz w:val="32"/>
          <w:szCs w:val="32"/>
        </w:rPr>
        <w:t>Framework Discovery</w:t>
      </w:r>
    </w:p>
    <w:p w:rsidR="66DAE5D3" w:rsidP="1A63C479" w:rsidRDefault="66DAE5D3" w14:paraId="3625B4CA" w14:textId="41B7FA9B">
      <w:pPr>
        <w:pStyle w:val="Normal"/>
      </w:pPr>
      <w:r w:rsidR="66DAE5D3">
        <w:rPr/>
        <w:t xml:space="preserve">In 2015, the Association of College &amp; Research Libraries (ACRL) revised the guiding document and standards for academic librarians. The ACRL Framework for Information Literacy for Higher Education outlines six core learning concepts as a model for librarians to follow in teaching students (and faculty!) about research and evaluation of information. </w:t>
      </w:r>
    </w:p>
    <w:p w:rsidR="66DAE5D3" w:rsidP="1A63C479" w:rsidRDefault="66DAE5D3" w14:paraId="46960FA4" w14:textId="7014E220">
      <w:pPr>
        <w:pStyle w:val="Normal"/>
        <w:rPr>
          <w:rFonts w:ascii="Calibri Light" w:hAnsi="Calibri Light" w:eastAsia="ＭＳ ゴシック" w:cs="Times New Roman" w:asciiTheme="majorAscii" w:hAnsiTheme="majorAscii" w:eastAsiaTheme="majorEastAsia" w:cstheme="majorBidi"/>
          <w:color w:val="2F5496" w:themeColor="accent1" w:themeTint="FF" w:themeShade="BF"/>
          <w:sz w:val="32"/>
          <w:szCs w:val="32"/>
        </w:rPr>
      </w:pPr>
      <w:r w:rsidR="66DAE5D3">
        <w:rPr/>
        <w:t xml:space="preserve">The frames are intentionally vague and overlap with one another. There is also harmony between research skills and writing skills present. For this discussion post activity, explore the Framework Discovery Document. This document provides each frame side-by-side with an example of the frame in action and a one-minute video to view for understanding. </w:t>
      </w:r>
    </w:p>
    <w:p w:rsidR="66DAE5D3" w:rsidP="1A63C479" w:rsidRDefault="66DAE5D3" w14:paraId="2EBED128" w14:textId="327914C7">
      <w:pPr>
        <w:pStyle w:val="ListParagraph"/>
        <w:numPr>
          <w:ilvl w:val="0"/>
          <w:numId w:val="2"/>
        </w:numPr>
        <w:rPr>
          <w:rFonts w:ascii="Calibri" w:hAnsi="Calibri" w:eastAsia="Calibri" w:cs="Calibri" w:asciiTheme="minorAscii" w:hAnsiTheme="minorAscii" w:eastAsiaTheme="minorAscii" w:cstheme="minorAscii"/>
          <w:sz w:val="22"/>
          <w:szCs w:val="22"/>
        </w:rPr>
      </w:pPr>
      <w:r w:rsidRPr="21435454" w:rsidR="66DAE5D3">
        <w:rPr>
          <w:b w:val="1"/>
          <w:bCs w:val="1"/>
        </w:rPr>
        <w:t>Explore the information for each frame</w:t>
      </w:r>
      <w:r w:rsidRPr="21435454" w:rsidR="29423454">
        <w:rPr>
          <w:b w:val="1"/>
          <w:bCs w:val="1"/>
        </w:rPr>
        <w:t>,</w:t>
      </w:r>
      <w:r w:rsidRPr="21435454" w:rsidR="66DAE5D3">
        <w:rPr>
          <w:b w:val="1"/>
          <w:bCs w:val="1"/>
        </w:rPr>
        <w:t xml:space="preserve"> and</w:t>
      </w:r>
    </w:p>
    <w:p w:rsidR="66DAE5D3" w:rsidP="0C866A9B" w:rsidRDefault="66DAE5D3" w14:paraId="7D39224A" w14:textId="121DA8ED">
      <w:pPr>
        <w:pStyle w:val="ListParagraph"/>
        <w:numPr>
          <w:ilvl w:val="0"/>
          <w:numId w:val="2"/>
        </w:numPr>
        <w:rPr>
          <w:b w:val="1"/>
          <w:bCs w:val="1"/>
        </w:rPr>
      </w:pPr>
      <w:r w:rsidRPr="1921AF03" w:rsidR="66DAE5D3">
        <w:rPr>
          <w:b w:val="1"/>
          <w:bCs w:val="1"/>
        </w:rPr>
        <w:t xml:space="preserve">Select one to discuss </w:t>
      </w:r>
    </w:p>
    <w:p w:rsidR="66DAE5D3" w:rsidP="1A63C479" w:rsidRDefault="66DAE5D3" w14:paraId="0671A3B6" w14:textId="2A5FED16">
      <w:pPr>
        <w:pStyle w:val="ListParagraph"/>
        <w:numPr>
          <w:ilvl w:val="1"/>
          <w:numId w:val="2"/>
        </w:numPr>
        <w:rPr>
          <w:rFonts w:ascii="Calibri" w:hAnsi="Calibri" w:eastAsia="Calibri" w:cs="Calibri" w:asciiTheme="minorAscii" w:hAnsiTheme="minorAscii" w:eastAsiaTheme="minorAscii" w:cstheme="minorAscii"/>
          <w:sz w:val="22"/>
          <w:szCs w:val="22"/>
        </w:rPr>
      </w:pPr>
      <w:r w:rsidRPr="0C866A9B" w:rsidR="66DAE5D3">
        <w:rPr>
          <w:i w:val="1"/>
          <w:iCs w:val="1"/>
        </w:rPr>
        <w:t xml:space="preserve">In what ways have you seen this framework in action in your own experience as a student? </w:t>
      </w:r>
    </w:p>
    <w:tbl>
      <w:tblPr>
        <w:tblW w:w="0" w:type="auto"/>
        <w:tblLayout w:type="fixed"/>
        <w:tblLook w:val="04A0" w:firstRow="1" w:lastRow="0" w:firstColumn="1" w:lastColumn="0" w:noHBand="0" w:noVBand="1"/>
      </w:tblPr>
      <w:tblGrid>
        <w:gridCol w:w="2646"/>
        <w:gridCol w:w="4380"/>
        <w:gridCol w:w="2333"/>
      </w:tblGrid>
      <w:tr w:rsidR="13CA8B2E" w:rsidTr="1A63C479" w14:paraId="488561B4"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3CA8B2E" w:rsidP="00153525" w:rsidRDefault="0007369E" w14:paraId="2B143A97" w14:textId="5C2A2E5E">
            <w:pPr>
              <w:spacing w:after="120" w:line="240" w:lineRule="auto"/>
              <w:jc w:val="center"/>
              <w:rPr>
                <w:rFonts w:ascii="Calibri" w:hAnsi="Calibri" w:eastAsia="Calibri" w:cs="Calibri"/>
                <w:b/>
                <w:bCs/>
                <w:color w:val="000000" w:themeColor="text1"/>
                <w:sz w:val="24"/>
                <w:szCs w:val="24"/>
              </w:rPr>
            </w:pPr>
            <w:hyperlink r:id="rId8">
              <w:r w:rsidRPr="538031ED" w:rsidR="13CA8B2E">
                <w:rPr>
                  <w:rStyle w:val="Hyperlink"/>
                  <w:rFonts w:ascii="Calibri" w:hAnsi="Calibri" w:eastAsia="Calibri" w:cs="Calibri"/>
                  <w:b/>
                  <w:bCs/>
                  <w:sz w:val="24"/>
                  <w:szCs w:val="24"/>
                </w:rPr>
                <w:t>ACRL Frame</w:t>
              </w:r>
              <w:r w:rsidRPr="538031ED" w:rsidR="1709A688">
                <w:rPr>
                  <w:rStyle w:val="Hyperlink"/>
                  <w:rFonts w:ascii="Calibri" w:hAnsi="Calibri" w:eastAsia="Calibri" w:cs="Calibri"/>
                  <w:b/>
                  <w:bCs/>
                  <w:sz w:val="24"/>
                  <w:szCs w:val="24"/>
                </w:rPr>
                <w:t>s</w:t>
              </w:r>
            </w:hyperlink>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3CA8B2E" w:rsidP="00153525" w:rsidRDefault="1709A688" w14:paraId="28E112D3" w14:textId="77B3158F">
            <w:pPr>
              <w:spacing w:after="120" w:line="240" w:lineRule="auto"/>
              <w:jc w:val="center"/>
              <w:rPr>
                <w:rFonts w:ascii="Calibri" w:hAnsi="Calibri" w:eastAsia="Calibri" w:cs="Calibri"/>
                <w:color w:val="000000" w:themeColor="text1"/>
                <w:sz w:val="24"/>
                <w:szCs w:val="24"/>
              </w:rPr>
            </w:pPr>
            <w:r w:rsidRPr="538031ED">
              <w:rPr>
                <w:rFonts w:ascii="Calibri" w:hAnsi="Calibri" w:eastAsia="Calibri" w:cs="Calibri"/>
                <w:b/>
                <w:bCs/>
                <w:color w:val="000000" w:themeColor="text1"/>
                <w:sz w:val="24"/>
                <w:szCs w:val="24"/>
              </w:rPr>
              <w:t>Frame in Action</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3CA8B2E" w:rsidP="00153525" w:rsidRDefault="1ACF8733" w14:paraId="56C5875E" w14:textId="2C4F1153">
            <w:pPr>
              <w:spacing w:after="120" w:line="240" w:lineRule="auto"/>
              <w:jc w:val="center"/>
              <w:rPr>
                <w:rFonts w:ascii="Calibri" w:hAnsi="Calibri" w:eastAsia="Calibri" w:cs="Calibri"/>
                <w:color w:val="000000" w:themeColor="text1"/>
                <w:sz w:val="24"/>
                <w:szCs w:val="24"/>
              </w:rPr>
            </w:pPr>
            <w:r w:rsidRPr="538031ED">
              <w:rPr>
                <w:rFonts w:ascii="Calibri" w:hAnsi="Calibri" w:eastAsia="Calibri" w:cs="Calibri"/>
                <w:b/>
                <w:bCs/>
                <w:color w:val="000000" w:themeColor="text1"/>
                <w:sz w:val="24"/>
                <w:szCs w:val="24"/>
              </w:rPr>
              <w:t>Watch</w:t>
            </w:r>
            <w:r w:rsidRPr="538031ED" w:rsidR="6CBED579">
              <w:rPr>
                <w:rFonts w:ascii="Calibri" w:hAnsi="Calibri" w:eastAsia="Calibri" w:cs="Calibri"/>
                <w:b/>
                <w:bCs/>
                <w:color w:val="000000" w:themeColor="text1"/>
                <w:sz w:val="24"/>
                <w:szCs w:val="24"/>
              </w:rPr>
              <w:t xml:space="preserve"> for </w:t>
            </w:r>
            <w:r w:rsidR="00153525">
              <w:rPr>
                <w:rFonts w:ascii="Calibri" w:hAnsi="Calibri" w:eastAsia="Calibri" w:cs="Calibri"/>
                <w:b/>
                <w:bCs/>
                <w:color w:val="000000" w:themeColor="text1"/>
                <w:sz w:val="24"/>
                <w:szCs w:val="24"/>
              </w:rPr>
              <w:t>U</w:t>
            </w:r>
            <w:r w:rsidRPr="538031ED" w:rsidR="6CBED579">
              <w:rPr>
                <w:rFonts w:ascii="Calibri" w:hAnsi="Calibri" w:eastAsia="Calibri" w:cs="Calibri"/>
                <w:b/>
                <w:bCs/>
                <w:color w:val="000000" w:themeColor="text1"/>
                <w:sz w:val="24"/>
                <w:szCs w:val="24"/>
              </w:rPr>
              <w:t>nderstanding</w:t>
            </w:r>
          </w:p>
        </w:tc>
      </w:tr>
      <w:tr w:rsidR="13CA8B2E" w:rsidTr="1A63C479" w14:paraId="291FA298"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13CA8B2E" w14:paraId="2E547C09" w14:textId="1D920D5A">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b/>
                <w:bCs/>
                <w:color w:val="000000" w:themeColor="text1"/>
                <w:sz w:val="24"/>
                <w:szCs w:val="24"/>
              </w:rPr>
              <w:t>Information Has Value</w:t>
            </w:r>
            <w:r w:rsidRPr="13CA8B2E">
              <w:rPr>
                <w:rFonts w:ascii="Calibri" w:hAnsi="Calibri" w:eastAsia="Calibri" w:cs="Calibri"/>
                <w:color w:val="000000" w:themeColor="text1"/>
                <w:sz w:val="24"/>
                <w:szCs w:val="24"/>
              </w:rPr>
              <w:t> </w:t>
            </w:r>
          </w:p>
          <w:p w:rsidR="13CA8B2E" w:rsidP="00D8153D" w:rsidRDefault="13CA8B2E" w14:paraId="45C5E427" w14:textId="4EF6C34C">
            <w:pPr>
              <w:spacing w:before="240" w:line="240" w:lineRule="auto"/>
              <w:jc w:val="center"/>
              <w:rPr>
                <w:rFonts w:ascii="Calibri" w:hAnsi="Calibri" w:eastAsia="Calibri" w:cs="Calibri"/>
                <w:color w:val="000000" w:themeColor="text1"/>
                <w:sz w:val="24"/>
                <w:szCs w:val="24"/>
              </w:rPr>
            </w:pPr>
            <w:r w:rsidRPr="1A63C479" w:rsidR="0396FE2F">
              <w:rPr>
                <w:rFonts w:ascii="Segoe UI Emoji" w:hAnsi="Segoe UI Emoji" w:eastAsia="Segoe UI Emoji" w:cs="Segoe UI Emoji"/>
                <w:color w:val="000000" w:themeColor="text1" w:themeTint="FF" w:themeShade="FF"/>
                <w:sz w:val="24"/>
                <w:szCs w:val="24"/>
              </w:rPr>
              <w:t>💲</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13CA8B2E" w14:paraId="4BF3341F" w14:textId="3A6D8749">
            <w:pPr>
              <w:spacing w:before="240" w:line="240" w:lineRule="auto"/>
              <w:rPr>
                <w:rFonts w:ascii="Calibri" w:hAnsi="Calibri" w:eastAsia="Calibri" w:cs="Calibri"/>
                <w:color w:val="000000" w:themeColor="text1"/>
                <w:sz w:val="24"/>
                <w:szCs w:val="24"/>
              </w:rPr>
            </w:pPr>
            <w:r w:rsidRPr="538031ED">
              <w:rPr>
                <w:rFonts w:ascii="Calibri" w:hAnsi="Calibri" w:eastAsia="Calibri" w:cs="Calibri"/>
                <w:i/>
                <w:iCs/>
                <w:color w:val="000000" w:themeColor="text1"/>
                <w:sz w:val="24"/>
                <w:szCs w:val="24"/>
              </w:rPr>
              <w:t>Students will demonstrate an awareness that information has educational, societal and commercial value in order to identify the rights, responsibilities, and barriers associated with information creation, access, consumption, and dissemination.</w:t>
            </w:r>
            <w:r w:rsidRPr="538031ED">
              <w:rPr>
                <w:rFonts w:ascii="Calibri" w:hAnsi="Calibri" w:eastAsia="Calibri" w:cs="Calibri"/>
                <w:color w:val="000000" w:themeColor="text1"/>
                <w:sz w:val="24"/>
                <w:szCs w:val="24"/>
              </w:rPr>
              <w:t> </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0007369E" w14:paraId="5FB55430" w14:textId="42B29452">
            <w:pPr>
              <w:spacing w:before="240" w:line="240" w:lineRule="auto"/>
              <w:rPr>
                <w:rFonts w:ascii="Calibri" w:hAnsi="Calibri" w:eastAsia="Calibri" w:cs="Calibri"/>
                <w:color w:val="000000" w:themeColor="text1"/>
                <w:sz w:val="24"/>
                <w:szCs w:val="24"/>
              </w:rPr>
            </w:pPr>
            <w:hyperlink r:id="rId9">
              <w:r w:rsidRPr="538031ED" w:rsidR="00304479">
                <w:rPr>
                  <w:rStyle w:val="Hyperlink"/>
                  <w:rFonts w:ascii="Calibri" w:hAnsi="Calibri" w:eastAsia="Calibri" w:cs="Calibri"/>
                  <w:sz w:val="24"/>
                  <w:szCs w:val="24"/>
                </w:rPr>
                <w:t>Info has Value Video</w:t>
              </w:r>
            </w:hyperlink>
            <w:r w:rsidRPr="538031ED" w:rsidR="00304479">
              <w:rPr>
                <w:rFonts w:ascii="Calibri" w:hAnsi="Calibri" w:eastAsia="Calibri" w:cs="Calibri"/>
                <w:color w:val="000000" w:themeColor="text1"/>
                <w:sz w:val="24"/>
                <w:szCs w:val="24"/>
              </w:rPr>
              <w:t xml:space="preserve"> (1 min, YouTube)</w:t>
            </w:r>
          </w:p>
        </w:tc>
      </w:tr>
      <w:tr w:rsidR="13CA8B2E" w:rsidTr="1A63C479" w14:paraId="14A8B1EB"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13CA8B2E" w14:paraId="6351A94A" w14:textId="0F5288D2">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b/>
                <w:bCs/>
                <w:color w:val="000000" w:themeColor="text1"/>
                <w:sz w:val="24"/>
                <w:szCs w:val="24"/>
              </w:rPr>
              <w:t>Research as Inquiry</w:t>
            </w:r>
            <w:r w:rsidRPr="13CA8B2E">
              <w:rPr>
                <w:rFonts w:ascii="Calibri" w:hAnsi="Calibri" w:eastAsia="Calibri" w:cs="Calibri"/>
                <w:color w:val="000000" w:themeColor="text1"/>
                <w:sz w:val="24"/>
                <w:szCs w:val="24"/>
              </w:rPr>
              <w:t> </w:t>
            </w:r>
          </w:p>
          <w:p w:rsidR="13CA8B2E" w:rsidP="00D8153D" w:rsidRDefault="13CA8B2E" w14:paraId="342A4313" w14:textId="3D3D2A85">
            <w:pPr>
              <w:spacing w:before="240" w:line="240" w:lineRule="auto"/>
              <w:jc w:val="center"/>
              <w:rPr>
                <w:rFonts w:ascii="Calibri" w:hAnsi="Calibri" w:eastAsia="Calibri" w:cs="Calibri"/>
                <w:color w:val="000000" w:themeColor="text1"/>
                <w:sz w:val="24"/>
                <w:szCs w:val="24"/>
              </w:rPr>
            </w:pPr>
            <w:r w:rsidRPr="1A63C479" w:rsidR="4DA35259">
              <w:rPr>
                <w:rFonts w:ascii="Calibri" w:hAnsi="Calibri" w:eastAsia="Calibri" w:cs="Calibri"/>
                <w:color w:val="000000" w:themeColor="text1" w:themeTint="FF" w:themeShade="FF"/>
                <w:sz w:val="24"/>
                <w:szCs w:val="24"/>
              </w:rPr>
              <w:t> </w:t>
            </w:r>
            <w:r w:rsidRPr="1A63C479" w:rsidR="58FD4374">
              <w:rPr>
                <w:rFonts w:ascii="Segoe UI Emoji" w:hAnsi="Segoe UI Emoji" w:eastAsia="Segoe UI Emoji" w:cs="Segoe UI Emoji"/>
                <w:color w:val="000000" w:themeColor="text1" w:themeTint="FF" w:themeShade="FF"/>
                <w:sz w:val="24"/>
                <w:szCs w:val="24"/>
              </w:rPr>
              <w:t>🔎</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13CA8B2E" w14:paraId="59FD17E9" w14:textId="16CC4AF3">
            <w:pPr>
              <w:spacing w:before="240" w:line="240" w:lineRule="auto"/>
              <w:rPr>
                <w:rFonts w:ascii="Calibri" w:hAnsi="Calibri" w:eastAsia="Calibri" w:cs="Calibri"/>
                <w:color w:val="000000" w:themeColor="text1"/>
                <w:sz w:val="24"/>
                <w:szCs w:val="24"/>
              </w:rPr>
            </w:pPr>
            <w:r w:rsidRPr="199E5CE0">
              <w:rPr>
                <w:rFonts w:ascii="Calibri" w:hAnsi="Calibri" w:eastAsia="Calibri" w:cs="Calibri"/>
                <w:i/>
                <w:iCs/>
                <w:color w:val="000000" w:themeColor="text1"/>
                <w:sz w:val="24"/>
                <w:szCs w:val="24"/>
              </w:rPr>
              <w:t>Students will plan, implement, and organize their research and determine the scope of their topic, choosing appropriate research methods, and adjust</w:t>
            </w:r>
            <w:r>
              <w:br/>
            </w:r>
            <w:r w:rsidRPr="199E5CE0">
              <w:rPr>
                <w:rFonts w:ascii="Calibri" w:hAnsi="Calibri" w:eastAsia="Calibri" w:cs="Calibri"/>
                <w:i/>
                <w:iCs/>
                <w:color w:val="000000" w:themeColor="text1"/>
                <w:sz w:val="24"/>
                <w:szCs w:val="24"/>
              </w:rPr>
              <w:t>their strategy as needed in order to inform their research while evaluating results, incorporating evolving knowledge, and negotiating any information gaps, conflicts, or ambiguities.</w:t>
            </w:r>
            <w:r w:rsidRPr="199E5CE0">
              <w:rPr>
                <w:rFonts w:ascii="Calibri" w:hAnsi="Calibri" w:eastAsia="Calibri" w:cs="Calibri"/>
                <w:color w:val="000000" w:themeColor="text1"/>
                <w:sz w:val="24"/>
                <w:szCs w:val="24"/>
              </w:rPr>
              <w:t> </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D8153D" w:rsidRDefault="0007369E" w14:paraId="5C86D381" w14:textId="0CDBB2BB">
            <w:pPr>
              <w:spacing w:before="240" w:line="240" w:lineRule="auto"/>
              <w:rPr>
                <w:rFonts w:ascii="Calibri" w:hAnsi="Calibri" w:eastAsia="Calibri" w:cs="Calibri"/>
                <w:color w:val="000000" w:themeColor="text1"/>
                <w:sz w:val="24"/>
                <w:szCs w:val="24"/>
              </w:rPr>
            </w:pPr>
            <w:hyperlink r:id="rId10">
              <w:r w:rsidRPr="538031ED" w:rsidR="5A8C2156">
                <w:rPr>
                  <w:rStyle w:val="Hyperlink"/>
                  <w:rFonts w:ascii="Calibri" w:hAnsi="Calibri" w:eastAsia="Calibri" w:cs="Calibri"/>
                  <w:sz w:val="24"/>
                  <w:szCs w:val="24"/>
                </w:rPr>
                <w:t>Research as inquiry Video</w:t>
              </w:r>
            </w:hyperlink>
            <w:r w:rsidRPr="538031ED" w:rsidR="5A8C2156">
              <w:rPr>
                <w:rFonts w:ascii="Calibri" w:hAnsi="Calibri" w:eastAsia="Calibri" w:cs="Calibri"/>
                <w:color w:val="000000" w:themeColor="text1"/>
                <w:sz w:val="24"/>
                <w:szCs w:val="24"/>
              </w:rPr>
              <w:t xml:space="preserve"> (1:14 min, YouTube)</w:t>
            </w:r>
          </w:p>
        </w:tc>
      </w:tr>
      <w:tr w:rsidR="13CA8B2E" w:rsidTr="1A63C479" w14:paraId="15679F52"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5271663D" w14:textId="68D9B44D">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color w:val="000000" w:themeColor="text1"/>
                <w:sz w:val="24"/>
                <w:szCs w:val="24"/>
              </w:rPr>
              <w:t> </w:t>
            </w:r>
            <w:r w:rsidRPr="13CA8B2E">
              <w:rPr>
                <w:rFonts w:ascii="Calibri" w:hAnsi="Calibri" w:eastAsia="Calibri" w:cs="Calibri"/>
                <w:b/>
                <w:bCs/>
                <w:color w:val="000000" w:themeColor="text1"/>
                <w:sz w:val="24"/>
                <w:szCs w:val="24"/>
              </w:rPr>
              <w:t>Searching as Strategic Exploration</w:t>
            </w:r>
            <w:r w:rsidRPr="13CA8B2E">
              <w:rPr>
                <w:rFonts w:ascii="Calibri" w:hAnsi="Calibri" w:eastAsia="Calibri" w:cs="Calibri"/>
                <w:color w:val="000000" w:themeColor="text1"/>
                <w:sz w:val="24"/>
                <w:szCs w:val="24"/>
              </w:rPr>
              <w:t> </w:t>
            </w:r>
          </w:p>
          <w:p w:rsidR="13CA8B2E" w:rsidP="001B65B2" w:rsidRDefault="13CA8B2E" w14:paraId="4508D7FD" w14:textId="35737FBF">
            <w:pPr>
              <w:spacing w:before="240" w:line="240" w:lineRule="auto"/>
              <w:jc w:val="center"/>
              <w:rPr>
                <w:rFonts w:ascii="Calibri" w:hAnsi="Calibri" w:eastAsia="Calibri" w:cs="Calibri"/>
                <w:color w:val="000000" w:themeColor="text1"/>
                <w:sz w:val="24"/>
                <w:szCs w:val="24"/>
              </w:rPr>
            </w:pPr>
            <w:r w:rsidRPr="1A63C479" w:rsidR="394DDD70">
              <w:rPr>
                <w:rFonts w:ascii="Segoe UI Emoji" w:hAnsi="Segoe UI Emoji" w:eastAsia="Segoe UI Emoji" w:cs="Segoe UI Emoji"/>
                <w:color w:val="000000" w:themeColor="text1" w:themeTint="FF" w:themeShade="FF"/>
                <w:sz w:val="24"/>
                <w:szCs w:val="24"/>
              </w:rPr>
              <w:t>🔮</w:t>
            </w:r>
            <w:r w:rsidRPr="1A63C479" w:rsidR="4DA35259">
              <w:rPr>
                <w:rFonts w:ascii="Calibri" w:hAnsi="Calibri" w:eastAsia="Calibri" w:cs="Calibri"/>
                <w:color w:val="000000" w:themeColor="text1" w:themeTint="FF" w:themeShade="FF"/>
                <w:sz w:val="24"/>
                <w:szCs w:val="24"/>
              </w:rPr>
              <w:t> </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6A3FA4" w:rsidRDefault="13CA8B2E" w14:paraId="07C5BDBC" w14:textId="5B06C502">
            <w:pPr>
              <w:spacing w:before="240" w:line="240" w:lineRule="auto"/>
              <w:rPr>
                <w:rFonts w:ascii="Calibri" w:hAnsi="Calibri" w:eastAsia="Calibri" w:cs="Calibri"/>
                <w:color w:val="000000" w:themeColor="text1"/>
                <w:sz w:val="24"/>
                <w:szCs w:val="24"/>
              </w:rPr>
            </w:pPr>
            <w:r w:rsidRPr="13CA8B2E">
              <w:rPr>
                <w:rFonts w:ascii="Calibri" w:hAnsi="Calibri" w:eastAsia="Calibri" w:cs="Calibri"/>
                <w:i/>
                <w:iCs/>
                <w:color w:val="000000" w:themeColor="text1"/>
                <w:sz w:val="24"/>
                <w:szCs w:val="24"/>
              </w:rPr>
              <w:t>Students will craft search strategies, including selecting and navigating relevant information systems (databases, finding aids, indexes, repositories, search engines, etc.), applying search logic, and using discipline-specific terminology in order to identify quality sources that will advance their research.</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0007369E" w14:paraId="0969F206" w14:textId="049CC26E">
            <w:pPr>
              <w:spacing w:before="240" w:line="240" w:lineRule="auto"/>
              <w:rPr>
                <w:rFonts w:ascii="Calibri" w:hAnsi="Calibri" w:eastAsia="Calibri" w:cs="Calibri"/>
                <w:color w:val="000000" w:themeColor="text1"/>
                <w:sz w:val="24"/>
                <w:szCs w:val="24"/>
              </w:rPr>
            </w:pPr>
            <w:hyperlink r:id="rId11">
              <w:r w:rsidRPr="538031ED" w:rsidR="270B45D9">
                <w:rPr>
                  <w:rStyle w:val="Hyperlink"/>
                  <w:rFonts w:ascii="Calibri" w:hAnsi="Calibri" w:eastAsia="Calibri" w:cs="Calibri"/>
                  <w:sz w:val="24"/>
                  <w:szCs w:val="24"/>
                </w:rPr>
                <w:t>Searching as Strategic</w:t>
              </w:r>
            </w:hyperlink>
            <w:r w:rsidRPr="538031ED" w:rsidR="270B45D9">
              <w:rPr>
                <w:rFonts w:ascii="Calibri" w:hAnsi="Calibri" w:eastAsia="Calibri" w:cs="Calibri"/>
                <w:color w:val="000000" w:themeColor="text1"/>
                <w:sz w:val="24"/>
                <w:szCs w:val="24"/>
              </w:rPr>
              <w:t xml:space="preserve"> Video (1 min., YouTube)</w:t>
            </w:r>
          </w:p>
        </w:tc>
      </w:tr>
      <w:tr w:rsidR="13CA8B2E" w:rsidTr="1A63C479" w14:paraId="0733BB0E"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17F8DBE0" w14:textId="602B53A2">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color w:val="000000" w:themeColor="text1"/>
              </w:rPr>
              <w:t> </w:t>
            </w:r>
            <w:r w:rsidRPr="13CA8B2E">
              <w:rPr>
                <w:rFonts w:ascii="Calibri" w:hAnsi="Calibri" w:eastAsia="Calibri" w:cs="Calibri"/>
                <w:b/>
                <w:bCs/>
                <w:color w:val="000000" w:themeColor="text1"/>
                <w:sz w:val="24"/>
                <w:szCs w:val="24"/>
              </w:rPr>
              <w:t>Authority is Constructed and Contextual</w:t>
            </w:r>
            <w:r w:rsidRPr="13CA8B2E">
              <w:rPr>
                <w:rFonts w:ascii="Calibri" w:hAnsi="Calibri" w:eastAsia="Calibri" w:cs="Calibri"/>
                <w:color w:val="000000" w:themeColor="text1"/>
                <w:sz w:val="24"/>
                <w:szCs w:val="24"/>
              </w:rPr>
              <w:t> </w:t>
            </w:r>
          </w:p>
          <w:p w:rsidR="13CA8B2E" w:rsidP="001B65B2" w:rsidRDefault="13CA8B2E" w14:paraId="201EE951" w14:textId="2505A332">
            <w:pPr>
              <w:spacing w:before="240" w:line="240" w:lineRule="auto"/>
              <w:jc w:val="center"/>
              <w:rPr>
                <w:rFonts w:ascii="Calibri" w:hAnsi="Calibri" w:eastAsia="Calibri" w:cs="Calibri"/>
                <w:color w:val="000000" w:themeColor="text1"/>
                <w:sz w:val="24"/>
                <w:szCs w:val="24"/>
              </w:rPr>
            </w:pPr>
            <w:r w:rsidRPr="1A63C479" w:rsidR="6B167801">
              <w:rPr>
                <w:rFonts w:ascii="Segoe UI Emoji" w:hAnsi="Segoe UI Emoji" w:eastAsia="Segoe UI Emoji" w:cs="Segoe UI Emoji"/>
                <w:color w:val="000000" w:themeColor="text1" w:themeTint="FF" w:themeShade="FF"/>
                <w:sz w:val="24"/>
                <w:szCs w:val="24"/>
              </w:rPr>
              <w:t>📣</w:t>
            </w:r>
            <w:r w:rsidRPr="1A63C479" w:rsidR="4DA35259">
              <w:rPr>
                <w:rFonts w:ascii="Calibri" w:hAnsi="Calibri" w:eastAsia="Calibri" w:cs="Calibri"/>
                <w:color w:val="000000" w:themeColor="text1" w:themeTint="FF" w:themeShade="FF"/>
                <w:sz w:val="24"/>
                <w:szCs w:val="24"/>
              </w:rPr>
              <w:t> </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045DF49A" w14:textId="0997D19E">
            <w:pPr>
              <w:spacing w:before="240" w:line="240" w:lineRule="auto"/>
              <w:rPr>
                <w:rFonts w:ascii="Calibri" w:hAnsi="Calibri" w:eastAsia="Calibri" w:cs="Calibri"/>
                <w:color w:val="000000" w:themeColor="text1"/>
              </w:rPr>
            </w:pPr>
            <w:r w:rsidRPr="13CA8B2E">
              <w:rPr>
                <w:rFonts w:ascii="Calibri" w:hAnsi="Calibri" w:eastAsia="Calibri" w:cs="Calibri"/>
                <w:i/>
                <w:iCs/>
                <w:color w:val="000000" w:themeColor="text1"/>
                <w:sz w:val="24"/>
                <w:szCs w:val="24"/>
              </w:rPr>
              <w:t>Students will differentiate types of authority within various communities and use appropriate indicators to determine credibility, challenge assumptions, investigate power dynamics, and measure their own developing expertise in order to explore viewpoints and select sources that support their own reasoning and fulfill their information need.</w:t>
            </w:r>
            <w:r w:rsidRPr="13CA8B2E">
              <w:rPr>
                <w:rFonts w:ascii="Calibri" w:hAnsi="Calibri" w:eastAsia="Calibri" w:cs="Calibri"/>
                <w:color w:val="000000" w:themeColor="text1"/>
                <w:sz w:val="24"/>
                <w:szCs w:val="24"/>
              </w:rPr>
              <w:t> </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0007369E" w14:paraId="3BD10410" w14:textId="51855F10">
            <w:pPr>
              <w:spacing w:before="240" w:line="240" w:lineRule="auto"/>
              <w:rPr>
                <w:rFonts w:ascii="Calibri" w:hAnsi="Calibri" w:eastAsia="Calibri" w:cs="Calibri"/>
                <w:color w:val="000000" w:themeColor="text1"/>
              </w:rPr>
            </w:pPr>
            <w:hyperlink r:id="rId12">
              <w:r w:rsidRPr="538031ED" w:rsidR="02D840FC">
                <w:rPr>
                  <w:rStyle w:val="Hyperlink"/>
                  <w:rFonts w:ascii="Calibri" w:hAnsi="Calibri" w:eastAsia="Calibri" w:cs="Calibri"/>
                </w:rPr>
                <w:t>Authority Video</w:t>
              </w:r>
            </w:hyperlink>
            <w:r w:rsidRPr="538031ED" w:rsidR="02D840FC">
              <w:rPr>
                <w:rFonts w:ascii="Calibri" w:hAnsi="Calibri" w:eastAsia="Calibri" w:cs="Calibri"/>
                <w:color w:val="000000" w:themeColor="text1"/>
              </w:rPr>
              <w:t xml:space="preserve"> (1:56 min, YouTube)</w:t>
            </w:r>
          </w:p>
        </w:tc>
      </w:tr>
      <w:tr w:rsidR="13CA8B2E" w:rsidTr="1A63C479" w14:paraId="3A79C050"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06D67F2D" w14:textId="4041240B">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color w:val="000000" w:themeColor="text1"/>
                <w:sz w:val="24"/>
                <w:szCs w:val="24"/>
              </w:rPr>
              <w:t> </w:t>
            </w:r>
            <w:r w:rsidRPr="13CA8B2E">
              <w:rPr>
                <w:rFonts w:ascii="Calibri" w:hAnsi="Calibri" w:eastAsia="Calibri" w:cs="Calibri"/>
                <w:b/>
                <w:bCs/>
                <w:color w:val="000000" w:themeColor="text1"/>
                <w:sz w:val="24"/>
                <w:szCs w:val="24"/>
              </w:rPr>
              <w:t>Information Creation as a Process</w:t>
            </w:r>
            <w:r w:rsidRPr="13CA8B2E">
              <w:rPr>
                <w:rFonts w:ascii="Calibri" w:hAnsi="Calibri" w:eastAsia="Calibri" w:cs="Calibri"/>
                <w:color w:val="000000" w:themeColor="text1"/>
                <w:sz w:val="24"/>
                <w:szCs w:val="24"/>
              </w:rPr>
              <w:t> </w:t>
            </w:r>
          </w:p>
          <w:p w:rsidR="13CA8B2E" w:rsidP="001B65B2" w:rsidRDefault="13CA8B2E" w14:paraId="133DF297" w14:textId="3CEE2D12">
            <w:pPr>
              <w:spacing w:before="240" w:line="240" w:lineRule="auto"/>
              <w:jc w:val="center"/>
              <w:rPr>
                <w:rFonts w:ascii="Calibri" w:hAnsi="Calibri" w:eastAsia="Calibri" w:cs="Calibri"/>
                <w:color w:val="000000" w:themeColor="text1"/>
                <w:sz w:val="24"/>
                <w:szCs w:val="24"/>
              </w:rPr>
            </w:pPr>
            <w:r w:rsidRPr="1A63C479" w:rsidR="4DA35259">
              <w:rPr>
                <w:rFonts w:ascii="Calibri" w:hAnsi="Calibri" w:eastAsia="Calibri" w:cs="Calibri"/>
                <w:color w:val="000000" w:themeColor="text1" w:themeTint="FF" w:themeShade="FF"/>
                <w:sz w:val="24"/>
                <w:szCs w:val="24"/>
              </w:rPr>
              <w:t> </w:t>
            </w:r>
            <w:r w:rsidRPr="1A63C479" w:rsidR="2023C419">
              <w:rPr>
                <w:rFonts w:ascii="Segoe UI Emoji" w:hAnsi="Segoe UI Emoji" w:eastAsia="Segoe UI Emoji" w:cs="Segoe UI Emoji"/>
                <w:color w:val="000000" w:themeColor="text1" w:themeTint="FF" w:themeShade="FF"/>
                <w:sz w:val="24"/>
                <w:szCs w:val="24"/>
              </w:rPr>
              <w:t>🎯</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7C66BB76" w14:textId="2FBB88B4">
            <w:pPr>
              <w:spacing w:before="240" w:line="240" w:lineRule="auto"/>
              <w:rPr>
                <w:rFonts w:ascii="Calibri" w:hAnsi="Calibri" w:eastAsia="Calibri" w:cs="Calibri"/>
                <w:color w:val="000000" w:themeColor="text1"/>
                <w:sz w:val="24"/>
                <w:szCs w:val="24"/>
              </w:rPr>
            </w:pPr>
            <w:r w:rsidRPr="538031ED">
              <w:rPr>
                <w:rFonts w:ascii="Calibri" w:hAnsi="Calibri" w:eastAsia="Calibri" w:cs="Calibri"/>
                <w:i/>
                <w:iCs/>
                <w:color w:val="000000" w:themeColor="text1"/>
                <w:sz w:val="24"/>
                <w:szCs w:val="24"/>
              </w:rPr>
              <w:t>Students will investigate the range of information available, the context surrounding its creation (purpose, intended audience, tone, subjectivity, format, etc.), and the varying capabilities and constraints of sources depending on audience (e.g., specific discipline, academia, workplace) in order to select appropriate content that will strengthen their own information creation and dissemination process.</w:t>
            </w:r>
            <w:r w:rsidRPr="538031ED">
              <w:rPr>
                <w:rFonts w:ascii="Calibri" w:hAnsi="Calibri" w:eastAsia="Calibri" w:cs="Calibri"/>
                <w:color w:val="000000" w:themeColor="text1"/>
                <w:sz w:val="24"/>
                <w:szCs w:val="24"/>
              </w:rPr>
              <w:t> </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0007369E" w14:paraId="7F7D7D0D" w14:textId="4DD07781">
            <w:pPr>
              <w:spacing w:before="240" w:line="240" w:lineRule="auto"/>
              <w:rPr>
                <w:rFonts w:ascii="Calibri" w:hAnsi="Calibri" w:eastAsia="Calibri" w:cs="Calibri"/>
                <w:color w:val="000000" w:themeColor="text1"/>
              </w:rPr>
            </w:pPr>
            <w:hyperlink r:id="rId13">
              <w:r w:rsidRPr="538031ED" w:rsidR="10920377">
                <w:rPr>
                  <w:rStyle w:val="Hyperlink"/>
                  <w:rFonts w:ascii="Calibri" w:hAnsi="Calibri" w:eastAsia="Calibri" w:cs="Calibri"/>
                </w:rPr>
                <w:t>Info Creation as Process Video</w:t>
              </w:r>
            </w:hyperlink>
            <w:r w:rsidRPr="538031ED" w:rsidR="10920377">
              <w:rPr>
                <w:rFonts w:ascii="Calibri" w:hAnsi="Calibri" w:eastAsia="Calibri" w:cs="Calibri"/>
                <w:color w:val="000000" w:themeColor="text1"/>
              </w:rPr>
              <w:t xml:space="preserve"> (1:23 min, YouTube)</w:t>
            </w:r>
          </w:p>
        </w:tc>
      </w:tr>
      <w:tr w:rsidR="13CA8B2E" w:rsidTr="1A63C479" w14:paraId="3B12780D" w14:textId="77777777">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776767ED" w14:textId="4C2CFA06">
            <w:pPr>
              <w:spacing w:before="240" w:line="240" w:lineRule="auto"/>
              <w:jc w:val="center"/>
              <w:rPr>
                <w:rFonts w:ascii="Calibri" w:hAnsi="Calibri" w:eastAsia="Calibri" w:cs="Calibri"/>
                <w:color w:val="000000" w:themeColor="text1"/>
                <w:sz w:val="24"/>
                <w:szCs w:val="24"/>
              </w:rPr>
            </w:pPr>
            <w:r w:rsidRPr="13CA8B2E">
              <w:rPr>
                <w:rFonts w:ascii="Calibri" w:hAnsi="Calibri" w:eastAsia="Calibri" w:cs="Calibri"/>
                <w:color w:val="000000" w:themeColor="text1"/>
                <w:sz w:val="24"/>
                <w:szCs w:val="24"/>
              </w:rPr>
              <w:t> </w:t>
            </w:r>
            <w:r w:rsidRPr="13CA8B2E">
              <w:rPr>
                <w:rFonts w:ascii="Calibri" w:hAnsi="Calibri" w:eastAsia="Calibri" w:cs="Calibri"/>
                <w:b/>
                <w:bCs/>
                <w:color w:val="000000" w:themeColor="text1"/>
                <w:sz w:val="24"/>
                <w:szCs w:val="24"/>
              </w:rPr>
              <w:t>Scholarship as Conversation</w:t>
            </w:r>
            <w:r w:rsidRPr="13CA8B2E">
              <w:rPr>
                <w:rFonts w:ascii="Calibri" w:hAnsi="Calibri" w:eastAsia="Calibri" w:cs="Calibri"/>
                <w:color w:val="000000" w:themeColor="text1"/>
                <w:sz w:val="24"/>
                <w:szCs w:val="24"/>
              </w:rPr>
              <w:t> </w:t>
            </w:r>
          </w:p>
          <w:p w:rsidR="13CA8B2E" w:rsidP="001B65B2" w:rsidRDefault="13CA8B2E" w14:paraId="77A9F9E5" w14:textId="55FAA2DE">
            <w:pPr>
              <w:spacing w:before="240" w:line="240" w:lineRule="auto"/>
              <w:jc w:val="center"/>
              <w:rPr>
                <w:rFonts w:ascii="Calibri" w:hAnsi="Calibri" w:eastAsia="Calibri" w:cs="Calibri"/>
                <w:color w:val="000000" w:themeColor="text1"/>
                <w:sz w:val="24"/>
                <w:szCs w:val="24"/>
              </w:rPr>
            </w:pPr>
            <w:r w:rsidRPr="1A63C479" w:rsidR="4DA35259">
              <w:rPr>
                <w:rFonts w:ascii="Calibri" w:hAnsi="Calibri" w:eastAsia="Calibri" w:cs="Calibri"/>
                <w:color w:val="000000" w:themeColor="text1" w:themeTint="FF" w:themeShade="FF"/>
                <w:sz w:val="24"/>
                <w:szCs w:val="24"/>
              </w:rPr>
              <w:t> </w:t>
            </w:r>
            <w:r w:rsidRPr="1A63C479" w:rsidR="717D0E65">
              <w:rPr>
                <w:rFonts w:ascii="Segoe UI Emoji" w:hAnsi="Segoe UI Emoji" w:eastAsia="Segoe UI Emoji" w:cs="Segoe UI Emoji"/>
                <w:color w:val="000000" w:themeColor="text1" w:themeTint="FF" w:themeShade="FF"/>
                <w:sz w:val="24"/>
                <w:szCs w:val="24"/>
              </w:rPr>
              <w:t>🤗</w:t>
            </w:r>
          </w:p>
        </w:tc>
        <w:tc>
          <w:tcPr>
            <w:tcW w:w="4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44841D72" w14:textId="4537D29E">
            <w:pPr>
              <w:spacing w:before="240" w:line="240" w:lineRule="auto"/>
              <w:rPr>
                <w:rFonts w:ascii="Calibri" w:hAnsi="Calibri" w:eastAsia="Calibri" w:cs="Calibri"/>
                <w:color w:val="000000" w:themeColor="text1"/>
                <w:sz w:val="24"/>
                <w:szCs w:val="24"/>
              </w:rPr>
            </w:pPr>
            <w:r w:rsidRPr="13CA8B2E">
              <w:rPr>
                <w:rFonts w:ascii="Calibri" w:hAnsi="Calibri" w:eastAsia="Calibri" w:cs="Calibri"/>
                <w:i/>
                <w:iCs/>
                <w:color w:val="000000" w:themeColor="text1"/>
                <w:sz w:val="24"/>
                <w:szCs w:val="24"/>
              </w:rPr>
              <w:t>Students will trace evolving conversations occurring in scholarly and professional spheres, identifying influential parties and organizations, and understanding barriers to participation, in order to engage appropriately and ethically in these conversations.</w:t>
            </w:r>
            <w:r w:rsidRPr="13CA8B2E">
              <w:rPr>
                <w:rFonts w:ascii="Calibri" w:hAnsi="Calibri" w:eastAsia="Calibri" w:cs="Calibri"/>
                <w:color w:val="000000" w:themeColor="text1"/>
                <w:sz w:val="24"/>
                <w:szCs w:val="24"/>
              </w:rPr>
              <w:t> </w:t>
            </w:r>
          </w:p>
        </w:tc>
        <w:tc>
          <w:tcPr>
            <w:tcW w:w="233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3CA8B2E" w:rsidP="001B65B2" w:rsidRDefault="13CA8B2E" w14:paraId="3A5ACAD9" w14:textId="6A0AEE04">
            <w:pPr>
              <w:spacing w:before="240" w:line="240" w:lineRule="auto"/>
              <w:rPr>
                <w:rFonts w:ascii="Calibri" w:hAnsi="Calibri" w:eastAsia="Calibri" w:cs="Calibri"/>
                <w:color w:val="000000" w:themeColor="text1"/>
              </w:rPr>
            </w:pPr>
            <w:r w:rsidRPr="13CA8B2E">
              <w:rPr>
                <w:rFonts w:ascii="Calibri" w:hAnsi="Calibri" w:eastAsia="Calibri" w:cs="Calibri"/>
                <w:color w:val="000000" w:themeColor="text1"/>
              </w:rPr>
              <w:t> </w:t>
            </w:r>
            <w:hyperlink r:id="rId14">
              <w:r w:rsidRPr="1A5AFC7C" w:rsidR="62664F09">
                <w:rPr>
                  <w:rStyle w:val="Hyperlink"/>
                  <w:rFonts w:ascii="Calibri" w:hAnsi="Calibri" w:eastAsia="Calibri" w:cs="Calibri"/>
                </w:rPr>
                <w:t>Scholarly Convo Video</w:t>
              </w:r>
            </w:hyperlink>
            <w:r w:rsidRPr="1A5AFC7C" w:rsidR="62664F09">
              <w:rPr>
                <w:rFonts w:ascii="Calibri" w:hAnsi="Calibri" w:eastAsia="Calibri" w:cs="Calibri"/>
                <w:color w:val="000000" w:themeColor="text1"/>
              </w:rPr>
              <w:t xml:space="preserve"> (1 minute, </w:t>
            </w:r>
            <w:r w:rsidRPr="1A5AFC7C" w:rsidR="3E93DF92">
              <w:rPr>
                <w:rFonts w:ascii="Calibri" w:hAnsi="Calibri" w:eastAsia="Calibri" w:cs="Calibri"/>
                <w:color w:val="000000" w:themeColor="text1"/>
              </w:rPr>
              <w:t>Y</w:t>
            </w:r>
            <w:r w:rsidRPr="1A5AFC7C" w:rsidR="62664F09">
              <w:rPr>
                <w:rFonts w:ascii="Calibri" w:hAnsi="Calibri" w:eastAsia="Calibri" w:cs="Calibri"/>
                <w:color w:val="000000" w:themeColor="text1"/>
              </w:rPr>
              <w:t>ouTube)</w:t>
            </w:r>
          </w:p>
        </w:tc>
      </w:tr>
    </w:tbl>
    <w:p w:rsidR="13CA8B2E" w:rsidP="13CA8B2E" w:rsidRDefault="13CA8B2E" w14:paraId="4DE857E2" w14:textId="346FE337">
      <w:pPr>
        <w:rPr>
          <w:sz w:val="24"/>
          <w:szCs w:val="24"/>
        </w:rPr>
      </w:pPr>
    </w:p>
    <w:sectPr w:rsidR="13CA8B2E">
      <w:pgSz w:w="12240" w:h="15840" w:orient="portrait"/>
      <w:pgMar w:top="1440" w:right="1440" w:bottom="1440" w:left="1440" w:header="720" w:footer="720" w:gutter="0"/>
      <w:cols w:space="720"/>
      <w:docGrid w:linePitch="360"/>
      <w:headerReference w:type="default" r:id="Rdc4b79e476a14dc3"/>
      <w:footerReference w:type="default" r:id="R0b1572cf5a2a48b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21AF03" w:rsidTr="1921AF03" w14:paraId="0BC4BBB2">
      <w:trPr>
        <w:trHeight w:val="300"/>
      </w:trPr>
      <w:tc>
        <w:tcPr>
          <w:tcW w:w="3120" w:type="dxa"/>
          <w:tcMar/>
        </w:tcPr>
        <w:p w:rsidR="1921AF03" w:rsidP="1921AF03" w:rsidRDefault="1921AF03" w14:paraId="3036BBDA" w14:textId="562111E1">
          <w:pPr>
            <w:pStyle w:val="Header"/>
            <w:bidi w:val="0"/>
            <w:ind w:left="-115"/>
            <w:jc w:val="left"/>
          </w:pPr>
          <w:r w:rsidR="1921AF03">
            <w:rPr/>
            <w:t>B. Sinnott</w:t>
          </w:r>
        </w:p>
      </w:tc>
      <w:tc>
        <w:tcPr>
          <w:tcW w:w="3120" w:type="dxa"/>
          <w:tcMar/>
        </w:tcPr>
        <w:p w:rsidR="1921AF03" w:rsidP="1921AF03" w:rsidRDefault="1921AF03" w14:paraId="61E5E4DA" w14:textId="59F784CF">
          <w:pPr>
            <w:pStyle w:val="Header"/>
            <w:bidi w:val="0"/>
            <w:jc w:val="center"/>
          </w:pPr>
        </w:p>
      </w:tc>
      <w:tc>
        <w:tcPr>
          <w:tcW w:w="3120" w:type="dxa"/>
          <w:tcMar/>
        </w:tcPr>
        <w:p w:rsidR="1921AF03" w:rsidP="1921AF03" w:rsidRDefault="1921AF03" w14:paraId="44292210" w14:textId="373B2F22">
          <w:pPr>
            <w:pStyle w:val="Header"/>
            <w:bidi w:val="0"/>
            <w:ind w:right="-115"/>
            <w:jc w:val="right"/>
          </w:pPr>
          <w:r w:rsidR="1921AF03">
            <w:rPr/>
            <w:t>Spring 2023</w:t>
          </w:r>
        </w:p>
      </w:tc>
    </w:tr>
  </w:tbl>
  <w:p w:rsidR="1921AF03" w:rsidP="1921AF03" w:rsidRDefault="1921AF03" w14:paraId="24F7DD96" w14:textId="523AF5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21AF03" w:rsidTr="1921AF03" w14:paraId="633683C2">
      <w:trPr>
        <w:trHeight w:val="300"/>
      </w:trPr>
      <w:tc>
        <w:tcPr>
          <w:tcW w:w="3120" w:type="dxa"/>
          <w:tcMar/>
        </w:tcPr>
        <w:p w:rsidR="1921AF03" w:rsidP="1921AF03" w:rsidRDefault="1921AF03" w14:paraId="6F288769" w14:textId="4C19B280">
          <w:pPr>
            <w:pStyle w:val="Header"/>
            <w:bidi w:val="0"/>
            <w:ind w:left="-115"/>
            <w:jc w:val="left"/>
          </w:pPr>
        </w:p>
      </w:tc>
      <w:tc>
        <w:tcPr>
          <w:tcW w:w="3120" w:type="dxa"/>
          <w:tcMar/>
        </w:tcPr>
        <w:p w:rsidR="1921AF03" w:rsidP="1921AF03" w:rsidRDefault="1921AF03" w14:paraId="5A37F210" w14:textId="14717C2B">
          <w:pPr>
            <w:pStyle w:val="Header"/>
            <w:bidi w:val="0"/>
            <w:jc w:val="center"/>
          </w:pPr>
        </w:p>
      </w:tc>
      <w:tc>
        <w:tcPr>
          <w:tcW w:w="3120" w:type="dxa"/>
          <w:tcMar/>
        </w:tcPr>
        <w:p w:rsidR="1921AF03" w:rsidP="1921AF03" w:rsidRDefault="1921AF03" w14:paraId="4FCE9E03" w14:textId="422038B0">
          <w:pPr>
            <w:pStyle w:val="Header"/>
            <w:bidi w:val="0"/>
            <w:ind w:right="-115"/>
            <w:jc w:val="right"/>
          </w:pPr>
        </w:p>
      </w:tc>
    </w:tr>
  </w:tbl>
  <w:p w:rsidR="1921AF03" w:rsidP="1921AF03" w:rsidRDefault="1921AF03" w14:paraId="47AB1DD0" w14:textId="059DBE4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2d4a6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310329"/>
    <w:multiLevelType w:val="hybridMultilevel"/>
    <w:tmpl w:val="D7323912"/>
    <w:lvl w:ilvl="0" w:tplc="C590C6D0">
      <w:start w:val="1"/>
      <w:numFmt w:val="bullet"/>
      <w:lvlText w:val=""/>
      <w:lvlJc w:val="left"/>
      <w:pPr>
        <w:ind w:left="720" w:hanging="360"/>
      </w:pPr>
      <w:rPr>
        <w:rFonts w:hint="default" w:ascii="Symbol" w:hAnsi="Symbol"/>
      </w:rPr>
    </w:lvl>
    <w:lvl w:ilvl="1" w:tplc="B80C57AA">
      <w:start w:val="1"/>
      <w:numFmt w:val="bullet"/>
      <w:lvlText w:val="o"/>
      <w:lvlJc w:val="left"/>
      <w:pPr>
        <w:ind w:left="1440" w:hanging="360"/>
      </w:pPr>
      <w:rPr>
        <w:rFonts w:hint="default" w:ascii="Courier New" w:hAnsi="Courier New"/>
      </w:rPr>
    </w:lvl>
    <w:lvl w:ilvl="2" w:tplc="72F82CBE">
      <w:start w:val="1"/>
      <w:numFmt w:val="bullet"/>
      <w:lvlText w:val=""/>
      <w:lvlJc w:val="left"/>
      <w:pPr>
        <w:ind w:left="2160" w:hanging="360"/>
      </w:pPr>
      <w:rPr>
        <w:rFonts w:hint="default" w:ascii="Wingdings" w:hAnsi="Wingdings"/>
      </w:rPr>
    </w:lvl>
    <w:lvl w:ilvl="3" w:tplc="DBEA1DDE">
      <w:start w:val="1"/>
      <w:numFmt w:val="bullet"/>
      <w:lvlText w:val=""/>
      <w:lvlJc w:val="left"/>
      <w:pPr>
        <w:ind w:left="2880" w:hanging="360"/>
      </w:pPr>
      <w:rPr>
        <w:rFonts w:hint="default" w:ascii="Symbol" w:hAnsi="Symbol"/>
      </w:rPr>
    </w:lvl>
    <w:lvl w:ilvl="4" w:tplc="230A9464">
      <w:start w:val="1"/>
      <w:numFmt w:val="bullet"/>
      <w:lvlText w:val="o"/>
      <w:lvlJc w:val="left"/>
      <w:pPr>
        <w:ind w:left="3600" w:hanging="360"/>
      </w:pPr>
      <w:rPr>
        <w:rFonts w:hint="default" w:ascii="Courier New" w:hAnsi="Courier New"/>
      </w:rPr>
    </w:lvl>
    <w:lvl w:ilvl="5" w:tplc="4B8A7D10">
      <w:start w:val="1"/>
      <w:numFmt w:val="bullet"/>
      <w:lvlText w:val=""/>
      <w:lvlJc w:val="left"/>
      <w:pPr>
        <w:ind w:left="4320" w:hanging="360"/>
      </w:pPr>
      <w:rPr>
        <w:rFonts w:hint="default" w:ascii="Wingdings" w:hAnsi="Wingdings"/>
      </w:rPr>
    </w:lvl>
    <w:lvl w:ilvl="6" w:tplc="6C68614C">
      <w:start w:val="1"/>
      <w:numFmt w:val="bullet"/>
      <w:lvlText w:val=""/>
      <w:lvlJc w:val="left"/>
      <w:pPr>
        <w:ind w:left="5040" w:hanging="360"/>
      </w:pPr>
      <w:rPr>
        <w:rFonts w:hint="default" w:ascii="Symbol" w:hAnsi="Symbol"/>
      </w:rPr>
    </w:lvl>
    <w:lvl w:ilvl="7" w:tplc="1744D674">
      <w:start w:val="1"/>
      <w:numFmt w:val="bullet"/>
      <w:lvlText w:val="o"/>
      <w:lvlJc w:val="left"/>
      <w:pPr>
        <w:ind w:left="5760" w:hanging="360"/>
      </w:pPr>
      <w:rPr>
        <w:rFonts w:hint="default" w:ascii="Courier New" w:hAnsi="Courier New"/>
      </w:rPr>
    </w:lvl>
    <w:lvl w:ilvl="8" w:tplc="C93C8CEE">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8FF4AB"/>
    <w:rsid w:val="0007369E"/>
    <w:rsid w:val="00153525"/>
    <w:rsid w:val="001B65B2"/>
    <w:rsid w:val="00304479"/>
    <w:rsid w:val="004346EB"/>
    <w:rsid w:val="004B70C4"/>
    <w:rsid w:val="00587C95"/>
    <w:rsid w:val="006A3FA4"/>
    <w:rsid w:val="008D879D"/>
    <w:rsid w:val="00D8153D"/>
    <w:rsid w:val="00E0027C"/>
    <w:rsid w:val="02D840FC"/>
    <w:rsid w:val="0396FE2F"/>
    <w:rsid w:val="04AA7302"/>
    <w:rsid w:val="063A0491"/>
    <w:rsid w:val="067D3518"/>
    <w:rsid w:val="072E9107"/>
    <w:rsid w:val="0B85C117"/>
    <w:rsid w:val="0C866A9B"/>
    <w:rsid w:val="0D5B49AA"/>
    <w:rsid w:val="0D69CD18"/>
    <w:rsid w:val="0FA7FEBF"/>
    <w:rsid w:val="10920377"/>
    <w:rsid w:val="1194A36E"/>
    <w:rsid w:val="13C7539D"/>
    <w:rsid w:val="13CA8B2E"/>
    <w:rsid w:val="14A8CE5A"/>
    <w:rsid w:val="15AFABD7"/>
    <w:rsid w:val="1602AD69"/>
    <w:rsid w:val="1709A688"/>
    <w:rsid w:val="1724590E"/>
    <w:rsid w:val="1921AF03"/>
    <w:rsid w:val="199E5CE0"/>
    <w:rsid w:val="1A5AFC7C"/>
    <w:rsid w:val="1A63C479"/>
    <w:rsid w:val="1ACF8733"/>
    <w:rsid w:val="1B856004"/>
    <w:rsid w:val="1D9C0D16"/>
    <w:rsid w:val="1DDA8173"/>
    <w:rsid w:val="1F607E58"/>
    <w:rsid w:val="1FF6D079"/>
    <w:rsid w:val="2023C419"/>
    <w:rsid w:val="2041250F"/>
    <w:rsid w:val="2050A4D5"/>
    <w:rsid w:val="210FABBA"/>
    <w:rsid w:val="21435454"/>
    <w:rsid w:val="231F792D"/>
    <w:rsid w:val="23CF7421"/>
    <w:rsid w:val="25308E85"/>
    <w:rsid w:val="2531F0D1"/>
    <w:rsid w:val="258FCA3E"/>
    <w:rsid w:val="269A083D"/>
    <w:rsid w:val="270B45D9"/>
    <w:rsid w:val="27D99B0E"/>
    <w:rsid w:val="28FFB858"/>
    <w:rsid w:val="2913DE00"/>
    <w:rsid w:val="29423454"/>
    <w:rsid w:val="299D9146"/>
    <w:rsid w:val="29AB3B43"/>
    <w:rsid w:val="29C9964D"/>
    <w:rsid w:val="2C1DA62A"/>
    <w:rsid w:val="2C90A882"/>
    <w:rsid w:val="2C91F497"/>
    <w:rsid w:val="3094CECC"/>
    <w:rsid w:val="3099B763"/>
    <w:rsid w:val="3115BBC3"/>
    <w:rsid w:val="31B50EC7"/>
    <w:rsid w:val="32309F2D"/>
    <w:rsid w:val="323587C4"/>
    <w:rsid w:val="35AB6013"/>
    <w:rsid w:val="394DDD70"/>
    <w:rsid w:val="3954C370"/>
    <w:rsid w:val="3ABADC0F"/>
    <w:rsid w:val="3BE9EFFB"/>
    <w:rsid w:val="3BEB83F4"/>
    <w:rsid w:val="3DE8F0B1"/>
    <w:rsid w:val="3E73D15D"/>
    <w:rsid w:val="3E93DF92"/>
    <w:rsid w:val="42F6105E"/>
    <w:rsid w:val="454F0164"/>
    <w:rsid w:val="46B2B7E6"/>
    <w:rsid w:val="47F00AB8"/>
    <w:rsid w:val="498FF4AB"/>
    <w:rsid w:val="49EC1E44"/>
    <w:rsid w:val="4B0E831D"/>
    <w:rsid w:val="4B7EED19"/>
    <w:rsid w:val="4CFF93B7"/>
    <w:rsid w:val="4D655E3E"/>
    <w:rsid w:val="4D783AC7"/>
    <w:rsid w:val="4DA35259"/>
    <w:rsid w:val="4FE6D9FD"/>
    <w:rsid w:val="5082AC9B"/>
    <w:rsid w:val="51D3BD37"/>
    <w:rsid w:val="5219E340"/>
    <w:rsid w:val="522ECB7B"/>
    <w:rsid w:val="529D0F9A"/>
    <w:rsid w:val="52A6DE3A"/>
    <w:rsid w:val="538031ED"/>
    <w:rsid w:val="5385B69B"/>
    <w:rsid w:val="548FB71B"/>
    <w:rsid w:val="54EF44B5"/>
    <w:rsid w:val="557E4044"/>
    <w:rsid w:val="55E03D08"/>
    <w:rsid w:val="571A10A5"/>
    <w:rsid w:val="577C0D69"/>
    <w:rsid w:val="57BC9DD7"/>
    <w:rsid w:val="58FD4374"/>
    <w:rsid w:val="59AEB061"/>
    <w:rsid w:val="59CA8737"/>
    <w:rsid w:val="5A7C9979"/>
    <w:rsid w:val="5A8C2156"/>
    <w:rsid w:val="61B9C246"/>
    <w:rsid w:val="621238E5"/>
    <w:rsid w:val="62664F09"/>
    <w:rsid w:val="62EC1C6E"/>
    <w:rsid w:val="633C6A4A"/>
    <w:rsid w:val="63DF6B50"/>
    <w:rsid w:val="63E3ACD0"/>
    <w:rsid w:val="640C9CAF"/>
    <w:rsid w:val="66DAE5D3"/>
    <w:rsid w:val="68B73B4E"/>
    <w:rsid w:val="6B167801"/>
    <w:rsid w:val="6B7EF818"/>
    <w:rsid w:val="6B8A9C53"/>
    <w:rsid w:val="6BB959CF"/>
    <w:rsid w:val="6CBED579"/>
    <w:rsid w:val="6ED631DC"/>
    <w:rsid w:val="703046A6"/>
    <w:rsid w:val="717D0E65"/>
    <w:rsid w:val="7213AE0F"/>
    <w:rsid w:val="7297A41D"/>
    <w:rsid w:val="72B09761"/>
    <w:rsid w:val="72F58E50"/>
    <w:rsid w:val="74B93320"/>
    <w:rsid w:val="7676CBA6"/>
    <w:rsid w:val="768AE033"/>
    <w:rsid w:val="76B31E23"/>
    <w:rsid w:val="776D7421"/>
    <w:rsid w:val="77EA75E5"/>
    <w:rsid w:val="7A741233"/>
    <w:rsid w:val="7A88639D"/>
    <w:rsid w:val="7AB08623"/>
    <w:rsid w:val="7AF8B2AF"/>
    <w:rsid w:val="7B9EC7DF"/>
    <w:rsid w:val="7E90DA3A"/>
    <w:rsid w:val="7FCC23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4AB"/>
  <w15:chartTrackingRefBased/>
  <w15:docId w15:val="{7515AAE5-9F49-4245-ACF8-9CF456D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a.org/acrl/standards/ilframework" TargetMode="External" Id="rId8" /><Relationship Type="http://schemas.openxmlformats.org/officeDocument/2006/relationships/hyperlink" Target="https://youtu.be/wihIcjfR61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youtu.be/LnzbCRmIeX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eWs2yYhQUa4"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youtu.be/-HUbOlaTeoU" TargetMode="External" Id="rId10" /><Relationship Type="http://schemas.openxmlformats.org/officeDocument/2006/relationships/numbering" Target="numbering.xml" Id="rId4" /><Relationship Type="http://schemas.openxmlformats.org/officeDocument/2006/relationships/hyperlink" Target="https://youtu.be/M-lTGZmidhY" TargetMode="External" Id="rId9" /><Relationship Type="http://schemas.openxmlformats.org/officeDocument/2006/relationships/hyperlink" Target="https://youtu.be/VILSLTnfKKs" TargetMode="External" Id="rId14" /><Relationship Type="http://schemas.openxmlformats.org/officeDocument/2006/relationships/header" Target="header.xml" Id="Rdc4b79e476a14dc3" /><Relationship Type="http://schemas.openxmlformats.org/officeDocument/2006/relationships/footer" Target="footer.xml" Id="R0b1572cf5a2a48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F88C3BD646E048AD2DF5F908A16F01" ma:contentTypeVersion="" ma:contentTypeDescription="Create a new document." ma:contentTypeScope="" ma:versionID="dce690f0e9220d828eaa0e9f86e5b1fa">
  <xsd:schema xmlns:xsd="http://www.w3.org/2001/XMLSchema" xmlns:xs="http://www.w3.org/2001/XMLSchema" xmlns:p="http://schemas.microsoft.com/office/2006/metadata/properties" xmlns:ns2="84a91f2a-732b-4879-92f2-ceff39333dbe" xmlns:ns3="e6510269-0e97-41cf-ac33-2f266daabb48" xmlns:ns4="c3176334-7e46-411a-9c1e-e18d185b5a25" targetNamespace="http://schemas.microsoft.com/office/2006/metadata/properties" ma:root="true" ma:fieldsID="7c09e07675b2b68d77bbf49d57e287f9" ns2:_="" ns3:_="" ns4:_="">
    <xsd:import namespace="84a91f2a-732b-4879-92f2-ceff39333dbe"/>
    <xsd:import namespace="e6510269-0e97-41cf-ac33-2f266daabb48"/>
    <xsd:import namespace="c3176334-7e46-411a-9c1e-e18d185b5a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91f2a-732b-4879-92f2-ceff39333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2b07bb-fd7d-413e-8714-e6af48a4850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510269-0e97-41cf-ac33-2f266daab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76334-7e46-411a-9c1e-e18d185b5a2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A227F6-F826-4C27-8C03-EE49CDA03F34}" ma:internalName="TaxCatchAll" ma:showField="CatchAllData" ma:web="{e6510269-0e97-41cf-ac33-2f266daab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510269-0e97-41cf-ac33-2f266daabb48">
      <UserInfo>
        <DisplayName>Logan-Bennett, Lorie</DisplayName>
        <AccountId>812</AccountId>
        <AccountType/>
      </UserInfo>
      <UserInfo>
        <DisplayName>Faller, Greg</DisplayName>
        <AccountId>813</AccountId>
        <AccountType/>
      </UserInfo>
    </SharedWithUsers>
    <TaxCatchAll xmlns="c3176334-7e46-411a-9c1e-e18d185b5a25" xsi:nil="true"/>
    <lcf76f155ced4ddcb4097134ff3c332f xmlns="84a91f2a-732b-4879-92f2-ceff39333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AB706-63D1-4849-8878-77BE299F6248}">
  <ds:schemaRefs>
    <ds:schemaRef ds:uri="http://schemas.microsoft.com/sharepoint/v3/contenttype/forms"/>
  </ds:schemaRefs>
</ds:datastoreItem>
</file>

<file path=customXml/itemProps2.xml><?xml version="1.0" encoding="utf-8"?>
<ds:datastoreItem xmlns:ds="http://schemas.openxmlformats.org/officeDocument/2006/customXml" ds:itemID="{A77CACAB-EB81-4527-B3DE-182270F830DA}"/>
</file>

<file path=customXml/itemProps3.xml><?xml version="1.0" encoding="utf-8"?>
<ds:datastoreItem xmlns:ds="http://schemas.openxmlformats.org/officeDocument/2006/customXml" ds:itemID="{29955351-BC71-46CD-9029-FB073A7A20CB}">
  <ds:schemaRefs>
    <ds:schemaRef ds:uri="http://schemas.microsoft.com/office/2006/metadata/properties"/>
    <ds:schemaRef ds:uri="http://schemas.microsoft.com/office/infopath/2007/PartnerControls"/>
    <ds:schemaRef ds:uri="e6510269-0e97-41cf-ac33-2f266daabb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Claire L.</dc:creator>
  <cp:keywords/>
  <dc:description/>
  <cp:lastModifiedBy>Sinnott, Bria L.</cp:lastModifiedBy>
  <cp:revision>13</cp:revision>
  <dcterms:created xsi:type="dcterms:W3CDTF">2021-05-05T16:49:00Z</dcterms:created>
  <dcterms:modified xsi:type="dcterms:W3CDTF">2024-02-07T15:55:38Z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0x010100BAF88C3BD646E048AD2DF5F908A16F01</vt:lpwstr>
  </property>
  <property fmtid="{D5CDD505-2E9C-101B-9397-08002B2CF9AE}" pid="3" name="MediaServiceImageTags">
    <vt:lpwstr/>
  </property>
</Properties>
</file>