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pPr>
      <w:bookmarkStart w:colFirst="0" w:colLast="0" w:name="_z2jxhnz2vtql" w:id="0"/>
      <w:bookmarkEnd w:id="0"/>
      <w:r w:rsidDel="00000000" w:rsidR="00000000" w:rsidRPr="00000000">
        <w:rPr>
          <w:rFonts w:ascii="Calibri" w:cs="Calibri" w:eastAsia="Calibri" w:hAnsi="Calibri"/>
          <w:i w:val="1"/>
          <w:color w:val="674ea7"/>
          <w:sz w:val="28"/>
          <w:szCs w:val="28"/>
          <w:rtl w:val="0"/>
        </w:rPr>
        <w:t xml:space="preserve">Data Quality Literacy Series 07</w:t>
      </w:r>
      <w:r w:rsidDel="00000000" w:rsidR="00000000" w:rsidRPr="00000000">
        <w:rPr>
          <w:rtl w:val="0"/>
        </w:rPr>
      </w:r>
    </w:p>
    <w:p w:rsidR="00000000" w:rsidDel="00000000" w:rsidP="00000000" w:rsidRDefault="00000000" w:rsidRPr="00000000" w14:paraId="00000004">
      <w:pPr>
        <w:pStyle w:val="Heading1"/>
        <w:spacing w:after="0" w:line="276" w:lineRule="auto"/>
        <w:rPr>
          <w:rFonts w:ascii="Calibri" w:cs="Calibri" w:eastAsia="Calibri" w:hAnsi="Calibri"/>
          <w:b w:val="1"/>
        </w:rPr>
      </w:pPr>
      <w:bookmarkStart w:colFirst="0" w:colLast="0" w:name="_br9132rz2rkd" w:id="1"/>
      <w:bookmarkEnd w:id="1"/>
      <w:r w:rsidDel="00000000" w:rsidR="00000000" w:rsidRPr="00000000">
        <w:rPr>
          <w:rFonts w:ascii="Calibri" w:cs="Calibri" w:eastAsia="Calibri" w:hAnsi="Calibri"/>
          <w:b w:val="1"/>
          <w:rtl w:val="0"/>
        </w:rPr>
        <w:t xml:space="preserve">Understanding Commercial Data</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i w:val="1"/>
          <w:sz w:val="24"/>
          <w:szCs w:val="24"/>
          <w:rtl w:val="0"/>
        </w:rPr>
        <w:t xml:space="preserve">Understanding commercial data, the benefits of using commercial data, and its limitations.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Commercial Data</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also </w:t>
      </w:r>
      <w:r w:rsidDel="00000000" w:rsidR="00000000" w:rsidRPr="00000000">
        <w:rPr>
          <w:rFonts w:ascii="Calibri" w:cs="Calibri" w:eastAsia="Calibri" w:hAnsi="Calibri"/>
          <w:sz w:val="24"/>
          <w:szCs w:val="24"/>
          <w:rtl w:val="0"/>
        </w:rPr>
        <w:t xml:space="preserve">called private-sector data or third-party data</w:t>
      </w:r>
      <w:r w:rsidDel="00000000" w:rsidR="00000000" w:rsidRPr="00000000">
        <w:rPr>
          <w:rFonts w:ascii="Calibri" w:cs="Calibri" w:eastAsia="Calibri" w:hAnsi="Calibri"/>
          <w:sz w:val="24"/>
          <w:szCs w:val="24"/>
          <w:rtl w:val="0"/>
        </w:rPr>
        <w:t xml:space="preserve">, broadly refers to data created and provided by commercial entities rather than government agencies.</w:t>
      </w:r>
    </w:p>
    <w:p w:rsidR="00000000" w:rsidDel="00000000" w:rsidP="00000000" w:rsidRDefault="00000000" w:rsidRPr="00000000" w14:paraId="00000008">
      <w:pPr>
        <w:pStyle w:val="Heading2"/>
        <w:rPr>
          <w:rFonts w:ascii="Calibri" w:cs="Calibri" w:eastAsia="Calibri" w:hAnsi="Calibri"/>
        </w:rPr>
      </w:pPr>
      <w:bookmarkStart w:colFirst="0" w:colLast="0" w:name="_7y3p0z26h1aj" w:id="2"/>
      <w:bookmarkEnd w:id="2"/>
      <w:r w:rsidDel="00000000" w:rsidR="00000000" w:rsidRPr="00000000">
        <w:rPr>
          <w:rFonts w:ascii="Calibri" w:cs="Calibri" w:eastAsia="Calibri" w:hAnsi="Calibri"/>
          <w:rtl w:val="0"/>
        </w:rPr>
        <w:t xml:space="preserve">Commercial Data Examples</w:t>
      </w:r>
    </w:p>
    <w:p w:rsidR="00000000" w:rsidDel="00000000" w:rsidP="00000000" w:rsidRDefault="00000000" w:rsidRPr="00000000" w14:paraId="00000009">
      <w:pPr>
        <w:spacing w:line="276" w:lineRule="auto"/>
        <w:rPr>
          <w:rFonts w:ascii="Calibri" w:cs="Calibri" w:eastAsia="Calibri" w:hAnsi="Calibri"/>
          <w:sz w:val="24"/>
          <w:szCs w:val="24"/>
        </w:rPr>
      </w:pPr>
      <w:r w:rsidDel="00000000" w:rsidR="00000000" w:rsidRPr="00000000">
        <w:rPr>
          <w:rtl w:val="0"/>
        </w:rPr>
      </w:r>
    </w:p>
    <w:tbl>
      <w:tblPr>
        <w:tblStyle w:val="Table1"/>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4410"/>
        <w:gridCol w:w="2370"/>
        <w:tblGridChange w:id="0">
          <w:tblGrid>
            <w:gridCol w:w="2700"/>
            <w:gridCol w:w="4410"/>
            <w:gridCol w:w="2370"/>
          </w:tblGrid>
        </w:tblGridChange>
      </w:tblGrid>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jc w:val="center"/>
              <w:rPr>
                <w:rFonts w:ascii="Calibri" w:cs="Calibri" w:eastAsia="Calibri" w:hAnsi="Calibri"/>
                <w:b w:val="1"/>
                <w:color w:val="674ea7"/>
                <w:sz w:val="20"/>
                <w:szCs w:val="20"/>
              </w:rPr>
            </w:pPr>
            <w:r w:rsidDel="00000000" w:rsidR="00000000" w:rsidRPr="00000000">
              <w:rPr>
                <w:rFonts w:ascii="Calibri" w:cs="Calibri" w:eastAsia="Calibri" w:hAnsi="Calibri"/>
                <w:b w:val="1"/>
                <w:color w:val="674ea7"/>
                <w:sz w:val="20"/>
                <w:szCs w:val="20"/>
                <w:rtl w:val="0"/>
              </w:rPr>
              <w:t xml:space="preserve">Structured  Commercial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Structured  Survey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Structured</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Administrative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Other Structured Data</w:t>
            </w:r>
          </w:p>
        </w:tc>
      </w:tr>
      <w:tr>
        <w:trPr>
          <w:cantSplit w:val="0"/>
          <w:trHeight w:val="1868.7109374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Media Market Data (e.g., Nielsen) </w:t>
            </w:r>
            <w:r w:rsidDel="00000000" w:rsidR="00000000" w:rsidRPr="00000000">
              <w:rPr>
                <w:rFonts w:ascii="Calibri" w:cs="Calibri" w:eastAsia="Calibri" w:hAnsi="Calibri"/>
                <w:sz w:val="20"/>
                <w:szCs w:val="20"/>
                <w:rtl w:val="0"/>
              </w:rPr>
              <w:t xml:space="preserve">| Market Research Probability Survey or Opt-in Panel data (e.g., Ipsos, Gfk, Kantar, Mintel) | </w:t>
            </w:r>
            <w:r w:rsidDel="00000000" w:rsidR="00000000" w:rsidRPr="00000000">
              <w:rPr>
                <w:rFonts w:ascii="Calibri" w:cs="Calibri" w:eastAsia="Calibri" w:hAnsi="Calibri"/>
                <w:sz w:val="20"/>
                <w:szCs w:val="20"/>
                <w:rtl w:val="0"/>
              </w:rPr>
              <w:t xml:space="preserve">Customer Satisfaction Surveys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Banking and Stock Records (e.g., Bloomberg, S&amp;P, Moody’s, Compustat, CRSP)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Commercial Transactions (e.g., Refinitiv)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Point of Sales Data (e.g., IRI/Circana)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Credit Card Records (e.g., Experian)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Housing Data (e.g., Zillow)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Private Employment Data (e.g., ADP)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State and Local Tax Data (e.g., CoreLogic) </w:t>
            </w:r>
            <w:r w:rsidDel="00000000" w:rsidR="00000000" w:rsidRPr="00000000">
              <w:rPr>
                <w:rFonts w:ascii="Calibri" w:cs="Calibri" w:eastAsia="Calibri" w:hAnsi="Calibri"/>
                <w:sz w:val="20"/>
                <w:szCs w:val="20"/>
                <w:rtl w:val="0"/>
              </w:rPr>
              <w:t xml:space="preserve">|Climate and S</w:t>
            </w:r>
            <w:r w:rsidDel="00000000" w:rsidR="00000000" w:rsidRPr="00000000">
              <w:rPr>
                <w:rFonts w:ascii="Calibri" w:cs="Calibri" w:eastAsia="Calibri" w:hAnsi="Calibri"/>
                <w:sz w:val="20"/>
                <w:szCs w:val="20"/>
                <w:rtl w:val="0"/>
              </w:rPr>
              <w:t xml:space="preserve">elf-reported Environmental Data (e.g., CDP)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E-commerce Transactions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Mobile Phone Location Sensors </w:t>
            </w:r>
            <w:r w:rsidDel="00000000" w:rsidR="00000000" w:rsidRPr="00000000">
              <w:rPr>
                <w:rFonts w:ascii="Calibri" w:cs="Calibri" w:eastAsia="Calibri" w:hAnsi="Calibri"/>
                <w:sz w:val="20"/>
                <w:szCs w:val="20"/>
                <w:rtl w:val="0"/>
              </w:rPr>
              <w:t xml:space="preserve">| GPS</w:t>
            </w:r>
            <w:r w:rsidDel="00000000" w:rsidR="00000000" w:rsidRPr="00000000">
              <w:rPr>
                <w:rFonts w:ascii="Calibri" w:cs="Calibri" w:eastAsia="Calibri" w:hAnsi="Calibri"/>
                <w:sz w:val="20"/>
                <w:szCs w:val="20"/>
                <w:rtl w:val="0"/>
              </w:rPr>
              <w:t xml:space="preserve"> Sensors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Utility Company Sensors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Weather or Pollution Sensors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jc w:val="center"/>
              <w:rPr>
                <w:rFonts w:ascii="Calibri" w:cs="Calibri" w:eastAsia="Calibri" w:hAnsi="Calibri"/>
                <w:b w:val="1"/>
                <w:color w:val="674ea7"/>
                <w:sz w:val="20"/>
                <w:szCs w:val="20"/>
              </w:rPr>
            </w:pPr>
            <w:r w:rsidDel="00000000" w:rsidR="00000000" w:rsidRPr="00000000">
              <w:rPr>
                <w:rFonts w:ascii="Calibri" w:cs="Calibri" w:eastAsia="Calibri" w:hAnsi="Calibri"/>
                <w:b w:val="1"/>
                <w:color w:val="674ea7"/>
                <w:sz w:val="20"/>
                <w:szCs w:val="20"/>
                <w:rtl w:val="0"/>
              </w:rPr>
              <w:t xml:space="preserve">Semi-Structured </w:t>
            </w:r>
          </w:p>
          <w:p w:rsidR="00000000" w:rsidDel="00000000" w:rsidP="00000000" w:rsidRDefault="00000000" w:rsidRPr="00000000" w14:paraId="00000014">
            <w:pPr>
              <w:spacing w:line="276" w:lineRule="auto"/>
              <w:jc w:val="center"/>
              <w:rPr>
                <w:rFonts w:ascii="Calibri" w:cs="Calibri" w:eastAsia="Calibri" w:hAnsi="Calibri"/>
                <w:color w:val="674ea7"/>
                <w:sz w:val="20"/>
                <w:szCs w:val="20"/>
              </w:rPr>
            </w:pPr>
            <w:r w:rsidDel="00000000" w:rsidR="00000000" w:rsidRPr="00000000">
              <w:rPr>
                <w:rFonts w:ascii="Calibri" w:cs="Calibri" w:eastAsia="Calibri" w:hAnsi="Calibri"/>
                <w:b w:val="1"/>
                <w:color w:val="674ea7"/>
                <w:sz w:val="20"/>
                <w:szCs w:val="20"/>
                <w:rtl w:val="0"/>
              </w:rPr>
              <w:t xml:space="preserve">Commercial Data</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Calibri" w:cs="Calibri" w:eastAsia="Calibri" w:hAnsi="Calibri"/>
                <w:color w:val="242732"/>
                <w:sz w:val="20"/>
                <w:szCs w:val="20"/>
              </w:rPr>
            </w:pPr>
            <w:r w:rsidDel="00000000" w:rsidR="00000000" w:rsidRPr="00000000">
              <w:rPr>
                <w:rFonts w:ascii="Calibri" w:cs="Calibri" w:eastAsia="Calibri" w:hAnsi="Calibri"/>
                <w:sz w:val="20"/>
                <w:szCs w:val="20"/>
                <w:rtl w:val="0"/>
              </w:rPr>
              <w:t xml:space="preserve">XML or JSON Files; Data from Computer/Online Systems (e.g., web logs); Emails; </w:t>
            </w:r>
            <w:r w:rsidDel="00000000" w:rsidR="00000000" w:rsidRPr="00000000">
              <w:rPr>
                <w:rFonts w:ascii="Calibri" w:cs="Calibri" w:eastAsia="Calibri" w:hAnsi="Calibri"/>
                <w:sz w:val="20"/>
                <w:szCs w:val="20"/>
                <w:rtl w:val="0"/>
              </w:rPr>
              <w:t xml:space="preserve">Articles from Full-text databases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b w:val="1"/>
                <w:color w:val="674ea7"/>
                <w:sz w:val="20"/>
                <w:szCs w:val="20"/>
              </w:rPr>
            </w:pPr>
            <w:r w:rsidDel="00000000" w:rsidR="00000000" w:rsidRPr="00000000">
              <w:rPr>
                <w:rFonts w:ascii="Calibri" w:cs="Calibri" w:eastAsia="Calibri" w:hAnsi="Calibri"/>
                <w:b w:val="1"/>
                <w:color w:val="674ea7"/>
                <w:sz w:val="20"/>
                <w:szCs w:val="20"/>
                <w:rtl w:val="0"/>
              </w:rPr>
              <w:t xml:space="preserve">Unstructured</w:t>
            </w:r>
          </w:p>
          <w:p w:rsidR="00000000" w:rsidDel="00000000" w:rsidP="00000000" w:rsidRDefault="00000000" w:rsidRPr="00000000" w14:paraId="00000018">
            <w:pPr>
              <w:spacing w:line="276" w:lineRule="auto"/>
              <w:jc w:val="center"/>
              <w:rPr>
                <w:rFonts w:ascii="Calibri" w:cs="Calibri" w:eastAsia="Calibri" w:hAnsi="Calibri"/>
                <w:color w:val="674ea7"/>
                <w:sz w:val="20"/>
                <w:szCs w:val="20"/>
              </w:rPr>
            </w:pPr>
            <w:r w:rsidDel="00000000" w:rsidR="00000000" w:rsidRPr="00000000">
              <w:rPr>
                <w:rFonts w:ascii="Calibri" w:cs="Calibri" w:eastAsia="Calibri" w:hAnsi="Calibri"/>
                <w:b w:val="1"/>
                <w:color w:val="674ea7"/>
                <w:sz w:val="20"/>
                <w:szCs w:val="20"/>
                <w:rtl w:val="0"/>
              </w:rPr>
              <w:t xml:space="preserve"> Commercial Data</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color w:val="242732"/>
                <w:sz w:val="20"/>
                <w:szCs w:val="20"/>
              </w:rPr>
            </w:pPr>
            <w:r w:rsidDel="00000000" w:rsidR="00000000" w:rsidRPr="00000000">
              <w:rPr>
                <w:rFonts w:ascii="Calibri" w:cs="Calibri" w:eastAsia="Calibri" w:hAnsi="Calibri"/>
                <w:sz w:val="20"/>
                <w:szCs w:val="20"/>
                <w:rtl w:val="0"/>
              </w:rPr>
              <w:t xml:space="preserve">Social Media Data (e.g., Facebook, Twitter, LinkedIn); Internet Searches (e.g., Google), Videos (e.g., YouTube), Traffic Webcams, Satellite Images </w:t>
            </w: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spacing w:line="276" w:lineRule="auto"/>
        <w:rPr>
          <w:rFonts w:ascii="Calibri" w:cs="Calibri" w:eastAsia="Calibri" w:hAnsi="Calibri"/>
        </w:rPr>
      </w:pPr>
      <w:bookmarkStart w:colFirst="0" w:colLast="0" w:name="_tepewec741r5" w:id="3"/>
      <w:bookmarkEnd w:id="3"/>
      <w:r w:rsidDel="00000000" w:rsidR="00000000" w:rsidRPr="00000000">
        <w:rPr>
          <w:rFonts w:ascii="Calibri" w:cs="Calibri" w:eastAsia="Calibri" w:hAnsi="Calibri"/>
          <w:rtl w:val="0"/>
        </w:rPr>
        <w:t xml:space="preserve">The Benefits of Using Commercial Data</w:t>
      </w:r>
    </w:p>
    <w:p w:rsidR="00000000" w:rsidDel="00000000" w:rsidP="00000000" w:rsidRDefault="00000000" w:rsidRPr="00000000" w14:paraId="0000001D">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can have content or a level of granularity that federal statistics </w:t>
      </w:r>
      <w:r w:rsidDel="00000000" w:rsidR="00000000" w:rsidRPr="00000000">
        <w:rPr>
          <w:rFonts w:ascii="Calibri" w:cs="Calibri" w:eastAsia="Calibri" w:hAnsi="Calibri"/>
          <w:sz w:val="24"/>
          <w:szCs w:val="24"/>
          <w:rtl w:val="0"/>
        </w:rPr>
        <w:t xml:space="preserve">do</w:t>
      </w:r>
      <w:r w:rsidDel="00000000" w:rsidR="00000000" w:rsidRPr="00000000">
        <w:rPr>
          <w:rFonts w:ascii="Calibri" w:cs="Calibri" w:eastAsia="Calibri" w:hAnsi="Calibri"/>
          <w:sz w:val="24"/>
          <w:szCs w:val="24"/>
          <w:rtl w:val="0"/>
        </w:rPr>
        <w:t xml:space="preserve"> not provide.</w:t>
      </w:r>
    </w:p>
    <w:p w:rsidR="00000000" w:rsidDel="00000000" w:rsidP="00000000" w:rsidRDefault="00000000" w:rsidRPr="00000000" w14:paraId="0000001E">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can be provided more </w:t>
      </w:r>
      <w:r w:rsidDel="00000000" w:rsidR="00000000" w:rsidRPr="00000000">
        <w:rPr>
          <w:rFonts w:ascii="Calibri" w:cs="Calibri" w:eastAsia="Calibri" w:hAnsi="Calibri"/>
          <w:sz w:val="24"/>
          <w:szCs w:val="24"/>
          <w:rtl w:val="0"/>
        </w:rPr>
        <w:t xml:space="preserve">timely and frequently</w:t>
      </w:r>
      <w:r w:rsidDel="00000000" w:rsidR="00000000" w:rsidRPr="00000000">
        <w:rPr>
          <w:rFonts w:ascii="Calibri" w:cs="Calibri" w:eastAsia="Calibri" w:hAnsi="Calibri"/>
          <w:sz w:val="24"/>
          <w:szCs w:val="24"/>
          <w:rtl w:val="0"/>
        </w:rPr>
        <w:t xml:space="preserve"> than federal statistics.</w:t>
      </w:r>
    </w:p>
    <w:p w:rsidR="00000000" w:rsidDel="00000000" w:rsidP="00000000" w:rsidRDefault="00000000" w:rsidRPr="00000000" w14:paraId="0000001F">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Commercial data vendors can have business relationships with private firms, so they can acquire and synthesize proprietary data. </w:t>
      </w:r>
    </w:p>
    <w:p w:rsidR="00000000" w:rsidDel="00000000" w:rsidP="00000000" w:rsidRDefault="00000000" w:rsidRPr="00000000" w14:paraId="00000020">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can be more cost-effective than collecting data on your own and can reduce the response burden. </w:t>
      </w:r>
    </w:p>
    <w:p w:rsidR="00000000" w:rsidDel="00000000" w:rsidP="00000000" w:rsidRDefault="00000000" w:rsidRPr="00000000" w14:paraId="00000021">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can complement and enhance the analysis of federal statistics. </w:t>
      </w:r>
    </w:p>
    <w:p w:rsidR="00000000" w:rsidDel="00000000" w:rsidP="00000000" w:rsidRDefault="00000000" w:rsidRPr="00000000" w14:paraId="00000022">
      <w:pPr>
        <w:pStyle w:val="Heading2"/>
        <w:spacing w:line="276" w:lineRule="auto"/>
        <w:rPr>
          <w:rFonts w:ascii="Calibri" w:cs="Calibri" w:eastAsia="Calibri" w:hAnsi="Calibri"/>
        </w:rPr>
      </w:pPr>
      <w:bookmarkStart w:colFirst="0" w:colLast="0" w:name="_nv5atpwsx1rz" w:id="4"/>
      <w:bookmarkEnd w:id="4"/>
      <w:r w:rsidDel="00000000" w:rsidR="00000000" w:rsidRPr="00000000">
        <w:rPr>
          <w:rFonts w:ascii="Calibri" w:cs="Calibri" w:eastAsia="Calibri" w:hAnsi="Calibri"/>
          <w:rtl w:val="0"/>
        </w:rPr>
        <w:t xml:space="preserve">Limitations of Commercial Data</w:t>
      </w:r>
    </w:p>
    <w:p w:rsidR="00000000" w:rsidDel="00000000" w:rsidP="00000000" w:rsidRDefault="00000000" w:rsidRPr="00000000" w14:paraId="00000023">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Commercial survey data generally have lower response rates than government surveys. Many firms have chosen opt-in Internet panels over probability surveys, which may cause concerns about t</w:t>
      </w:r>
      <w:r w:rsidDel="00000000" w:rsidR="00000000" w:rsidRPr="00000000">
        <w:rPr>
          <w:rFonts w:ascii="Calibri" w:cs="Calibri" w:eastAsia="Calibri" w:hAnsi="Calibri"/>
          <w:sz w:val="24"/>
          <w:szCs w:val="24"/>
          <w:rtl w:val="0"/>
        </w:rPr>
        <w:t xml:space="preserve">he representativeness of the sample.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Administrative data collected for transactional purposes tend to be less stable in data definition and data-generating processes.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Commercial data are often vulnerable to changes or discontinuation without notice and subject to manipulation for private interest.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Vendors often provide the latest data at a point in time in a dashboard interface rather than datasets and data file format may not be compatible with stati</w:t>
      </w:r>
      <w:r w:rsidDel="00000000" w:rsidR="00000000" w:rsidRPr="00000000">
        <w:rPr>
          <w:rFonts w:ascii="Calibri" w:cs="Calibri" w:eastAsia="Calibri" w:hAnsi="Calibri"/>
          <w:sz w:val="24"/>
          <w:szCs w:val="24"/>
          <w:rtl w:val="0"/>
        </w:rPr>
        <w:t xml:space="preserve">stical software.</w:t>
      </w:r>
    </w:p>
    <w:p w:rsidR="00000000" w:rsidDel="00000000" w:rsidP="00000000" w:rsidRDefault="00000000" w:rsidRPr="00000000" w14:paraId="0000002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i w:val="1"/>
          <w:color w:val="ff9900"/>
          <w:sz w:val="24"/>
          <w:szCs w:val="24"/>
        </w:rPr>
      </w:pPr>
      <w:r w:rsidDel="00000000" w:rsidR="00000000" w:rsidRPr="00000000">
        <w:rPr>
          <w:rFonts w:ascii="Calibri" w:cs="Calibri" w:eastAsia="Calibri" w:hAnsi="Calibri"/>
          <w:sz w:val="24"/>
          <w:szCs w:val="24"/>
          <w:rtl w:val="0"/>
        </w:rPr>
        <w:t xml:space="preserve">To learn more, refer to </w:t>
      </w:r>
      <w:r w:rsidDel="00000000" w:rsidR="00000000" w:rsidRPr="00000000">
        <w:rPr>
          <w:rFonts w:ascii="Calibri" w:cs="Calibri" w:eastAsia="Calibri" w:hAnsi="Calibri"/>
          <w:i w:val="1"/>
          <w:color w:val="ff9900"/>
          <w:sz w:val="24"/>
          <w:szCs w:val="24"/>
          <w:rtl w:val="0"/>
        </w:rPr>
        <w:t xml:space="preserve">Data Quality Literacy Series 08: Evaluating Commercial Data Quality.</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2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line="276" w:lineRule="auto"/>
        <w:ind w:left="3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Harris-Kojetin, B. A., &amp; Groves, R. M. (Eds.). (2017).</w:t>
      </w:r>
      <w:r w:rsidDel="00000000" w:rsidR="00000000" w:rsidRPr="00000000">
        <w:rPr>
          <w:rFonts w:ascii="Calibri" w:cs="Calibri" w:eastAsia="Calibri" w:hAnsi="Calibri"/>
          <w:i w:val="1"/>
          <w:highlight w:val="white"/>
          <w:rtl w:val="0"/>
        </w:rPr>
        <w:t xml:space="preserve"> Innovations in Federal Statistics: Combining Data Sources while Protecting Privacy</w:t>
      </w:r>
      <w:r w:rsidDel="00000000" w:rsidR="00000000" w:rsidRPr="00000000">
        <w:rPr>
          <w:rFonts w:ascii="Calibri" w:cs="Calibri" w:eastAsia="Calibri" w:hAnsi="Calibri"/>
          <w:highlight w:val="white"/>
          <w:rtl w:val="0"/>
        </w:rPr>
        <w:t xml:space="preserve">. </w:t>
      </w:r>
      <w:hyperlink r:id="rId7">
        <w:r w:rsidDel="00000000" w:rsidR="00000000" w:rsidRPr="00000000">
          <w:rPr>
            <w:rFonts w:ascii="Calibri" w:cs="Calibri" w:eastAsia="Calibri" w:hAnsi="Calibri"/>
            <w:highlight w:val="white"/>
            <w:u w:val="single"/>
            <w:rtl w:val="0"/>
          </w:rPr>
          <w:t xml:space="preserve">https://nap.nationalacademies.org/catalog/24652/innovations-in-federal-statistics-combining-data-sources-while-protecting-privacy</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E">
      <w:pPr>
        <w:spacing w:line="276" w:lineRule="auto"/>
        <w:ind w:left="360" w:hanging="360"/>
        <w:rPr>
          <w:rFonts w:ascii="Calibri" w:cs="Calibri" w:eastAsia="Calibri" w:hAnsi="Calibri"/>
        </w:rPr>
      </w:pPr>
      <w:r w:rsidDel="00000000" w:rsidR="00000000" w:rsidRPr="00000000">
        <w:rPr>
          <w:rFonts w:ascii="Calibri" w:cs="Calibri" w:eastAsia="Calibri" w:hAnsi="Calibri"/>
          <w:highlight w:val="white"/>
          <w:rtl w:val="0"/>
        </w:rPr>
        <w:t xml:space="preserve">Harris-Kojetin, B. A., &amp; Groves, R. M. (Eds.). (2018). </w:t>
      </w:r>
      <w:r w:rsidDel="00000000" w:rsidR="00000000" w:rsidRPr="00000000">
        <w:rPr>
          <w:rFonts w:ascii="Calibri" w:cs="Calibri" w:eastAsia="Calibri" w:hAnsi="Calibri"/>
          <w:i w:val="1"/>
          <w:highlight w:val="white"/>
          <w:rtl w:val="0"/>
        </w:rPr>
        <w:t xml:space="preserve">Federal Statistics, Multiple Data Sources, and Privacy Protection: Next Steps</w:t>
      </w:r>
      <w:r w:rsidDel="00000000" w:rsidR="00000000" w:rsidRPr="00000000">
        <w:rPr>
          <w:rFonts w:ascii="Calibri" w:cs="Calibri" w:eastAsia="Calibri" w:hAnsi="Calibri"/>
          <w:highlight w:val="white"/>
          <w:rtl w:val="0"/>
        </w:rPr>
        <w:t xml:space="preserve">. </w:t>
      </w:r>
      <w:hyperlink r:id="rId8">
        <w:r w:rsidDel="00000000" w:rsidR="00000000" w:rsidRPr="00000000">
          <w:rPr>
            <w:rFonts w:ascii="Calibri" w:cs="Calibri" w:eastAsia="Calibri" w:hAnsi="Calibri"/>
            <w:highlight w:val="white"/>
            <w:u w:val="single"/>
            <w:rtl w:val="0"/>
          </w:rPr>
          <w:t xml:space="preserve">https://nap.nationalacademies.org/catalog/24893/federal-statistics-multiple-data-sources-and-privacy-protection-next-steps</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F">
      <w:pPr>
        <w:spacing w:line="276" w:lineRule="auto"/>
        <w:ind w:left="360"/>
        <w:rPr>
          <w:rFonts w:ascii="Calibri" w:cs="Calibri" w:eastAsia="Calibri" w:hAnsi="Calibri"/>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 </w:t>
      </w:r>
      <w:hyperlink r:id="rId9">
        <w:r w:rsidDel="00000000" w:rsidR="00000000" w:rsidRPr="00000000">
          <w:rPr>
            <w:rFonts w:ascii="Calibri" w:cs="Calibri" w:eastAsia="Calibri" w:hAnsi="Calibri"/>
            <w:color w:val="1155cc"/>
            <w:u w:val="single"/>
            <w:rtl w:val="0"/>
          </w:rPr>
          <w:t xml:space="preserve">https://doi.org/10.31219/osf.io/ruawm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pacing w:line="276" w:lineRule="auto"/>
        <w:ind w:left="360" w:hanging="360"/>
        <w:rPr>
          <w:rFonts w:ascii="Calibri" w:cs="Calibri" w:eastAsia="Calibri" w:hAnsi="Calibri"/>
          <w:b w:val="1"/>
          <w:sz w:val="24"/>
          <w:szCs w:val="24"/>
        </w:rPr>
      </w:pPr>
      <w:r w:rsidDel="00000000" w:rsidR="00000000" w:rsidRPr="00000000">
        <w:rPr>
          <w:rFonts w:ascii="Calibri" w:cs="Calibri" w:eastAsia="Calibri" w:hAnsi="Calibri"/>
          <w:rtl w:val="0"/>
        </w:rPr>
        <w:t xml:space="preserve">Muth, M., Sweitzer, M., Brown, D., Capogrossi, K., Karns, S., Levin, D., Okrent, A., Siegel, P., and Zhen, C. (2016). ​​Understanding IRI  Household-Based and  Store-Based Scanner Data. Economic Research Service.</w:t>
      </w:r>
      <w:r w:rsidDel="00000000" w:rsidR="00000000" w:rsidRPr="00000000">
        <w:rPr>
          <w:rFonts w:ascii="Calibri" w:cs="Calibri" w:eastAsia="Calibri" w:hAnsi="Calibri"/>
          <w:i w:val="1"/>
          <w:rtl w:val="0"/>
        </w:rPr>
        <w:t xml:space="preserve"> USDA </w:t>
      </w:r>
      <w:r w:rsidDel="00000000" w:rsidR="00000000" w:rsidRPr="00000000">
        <w:rPr>
          <w:rFonts w:ascii="Calibri" w:cs="Calibri" w:eastAsia="Calibri" w:hAnsi="Calibri"/>
          <w:i w:val="1"/>
          <w:rtl w:val="0"/>
        </w:rPr>
        <w:t xml:space="preserve">Technical Bulletin 1942</w:t>
      </w: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u w:val="single"/>
            <w:rtl w:val="0"/>
          </w:rPr>
          <w:t xml:space="preserve">https://www.ers.usda.gov/publications/pub-details/?pubid=47636</w:t>
        </w:r>
      </w:hyperlink>
      <w:r w:rsidDel="00000000" w:rsidR="00000000" w:rsidRPr="00000000">
        <w:rPr>
          <w:rFonts w:ascii="Calibri" w:cs="Calibri" w:eastAsia="Calibri" w:hAnsi="Calibri"/>
          <w:rtl w:val="0"/>
        </w:rPr>
        <w:t xml:space="preserve"> </w:t>
      </w:r>
      <w:r w:rsidDel="00000000" w:rsidR="00000000" w:rsidRPr="00000000">
        <w:rPr>
          <w:rtl w:val="0"/>
        </w:rPr>
      </w:r>
    </w:p>
    <w:tbl>
      <w:tblPr>
        <w:tblStyle w:val="Table2"/>
        <w:tblpPr w:leftFromText="180" w:rightFromText="180" w:topFromText="180" w:bottomFromText="180" w:vertAnchor="text" w:horzAnchor="text" w:tblpX="0" w:tblpY="0"/>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048.02734375" w:hRule="atLeast"/>
          <w:tblHeader w:val="0"/>
        </w:trPr>
        <w:tc>
          <w:tcPr/>
          <w:p w:rsidR="00000000" w:rsidDel="00000000" w:rsidP="00000000" w:rsidRDefault="00000000" w:rsidRPr="00000000" w14:paraId="00000031">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inspired by the National Forum presentation from Bill Sermons, Todd Hines, and Patrick W. McLaughlin,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11">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3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34">
            <w:pPr>
              <w:jc w:val="center"/>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sz w:val="24"/>
          <w:szCs w:val="24"/>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Fonts w:ascii="Calibri" w:cs="Calibri" w:eastAsia="Calibri" w:hAnsi="Calibri"/>
        <w:i w:val="1"/>
        <w:color w:val="674ea7"/>
        <w:rtl w:val="0"/>
      </w:rPr>
      <w:t xml:space="preserve">Data Quality Literacy Series 07: Understanding Commercial Data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mls.gov/grants/awarded/re-252357-ols-22" TargetMode="External"/><Relationship Id="rId10" Type="http://schemas.openxmlformats.org/officeDocument/2006/relationships/hyperlink" Target="https://www.ers.usda.gov/publications/pub-details/?pubid=47636" TargetMode="External"/><Relationship Id="rId13" Type="http://schemas.openxmlformats.org/officeDocument/2006/relationships/header" Target="header1.xml"/><Relationship Id="rId12" Type="http://schemas.openxmlformats.org/officeDocument/2006/relationships/hyperlink" Target="https://www.dataqualityliterac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1219/osf.io/ruaw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nap.nationalacademies.org/catalog/24652/innovations-in-federal-statistics-combining-data-sources-while-protecting-privacy" TargetMode="External"/><Relationship Id="rId8" Type="http://schemas.openxmlformats.org/officeDocument/2006/relationships/hyperlink" Target="https://nap.nationalacademies.org/catalog/24893/federal-statistics-multiple-data-sources-and-privacy-protection-next-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