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rPr>
          <w:rFonts w:ascii="Calibri" w:cs="Calibri" w:eastAsia="Calibri" w:hAnsi="Calibri"/>
        </w:rPr>
      </w:pPr>
      <w:r w:rsidDel="00000000" w:rsidR="00000000" w:rsidRPr="00000000">
        <w:rPr>
          <w:rFonts w:ascii="Calibri" w:cs="Calibri" w:eastAsia="Calibri" w:hAnsi="Calibri"/>
          <w:rtl w:val="0"/>
        </w:rPr>
        <w:t xml:space="preserve">Data Quality Literacy </w:t>
      </w:r>
      <w:r w:rsidDel="00000000" w:rsidR="00000000" w:rsidRPr="00000000">
        <w:drawing>
          <wp:anchor allowOverlap="1" behindDoc="0" distB="114300" distT="114300" distL="114300" distR="114300" hidden="0" layoutInCell="1" locked="0" relativeHeight="0" simplePos="0">
            <wp:simplePos x="0" y="0"/>
            <wp:positionH relativeFrom="column">
              <wp:posOffset>-104774</wp:posOffset>
            </wp:positionH>
            <wp:positionV relativeFrom="paragraph">
              <wp:posOffset>-95249</wp:posOffset>
            </wp:positionV>
            <wp:extent cx="547688" cy="5476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47688" cy="547688"/>
                    </a:xfrm>
                    <a:prstGeom prst="rect"/>
                    <a:ln/>
                  </pic:spPr>
                </pic:pic>
              </a:graphicData>
            </a:graphic>
          </wp:anchor>
        </w:drawing>
      </w:r>
    </w:p>
    <w:p w:rsidR="00000000" w:rsidDel="00000000" w:rsidP="00000000" w:rsidRDefault="00000000" w:rsidRPr="00000000" w14:paraId="00000002">
      <w:pPr>
        <w:ind w:firstLine="720"/>
        <w:rPr>
          <w:rFonts w:ascii="Calibri" w:cs="Calibri" w:eastAsia="Calibri" w:hAnsi="Calibri"/>
          <w:i w:val="1"/>
          <w:color w:val="674ea7"/>
          <w:sz w:val="28"/>
          <w:szCs w:val="28"/>
        </w:rPr>
      </w:pPr>
      <w:r w:rsidDel="00000000" w:rsidR="00000000" w:rsidRPr="00000000">
        <w:rPr>
          <w:rFonts w:ascii="Calibri" w:cs="Calibri" w:eastAsia="Calibri" w:hAnsi="Calibri"/>
          <w:b w:val="1"/>
          <w:color w:val="674ea7"/>
          <w:rtl w:val="0"/>
        </w:rPr>
        <w:t xml:space="preserve">A Knowledge Brief </w:t>
      </w:r>
      <w:r w:rsidDel="00000000" w:rsidR="00000000" w:rsidRPr="00000000">
        <w:rPr>
          <w:rtl w:val="0"/>
        </w:rPr>
      </w:r>
    </w:p>
    <w:p w:rsidR="00000000" w:rsidDel="00000000" w:rsidP="00000000" w:rsidRDefault="00000000" w:rsidRPr="00000000" w14:paraId="00000003">
      <w:pPr>
        <w:pStyle w:val="Heading1"/>
        <w:rPr/>
      </w:pPr>
      <w:bookmarkStart w:colFirst="0" w:colLast="0" w:name="_kr3tl072pc8t" w:id="0"/>
      <w:bookmarkEnd w:id="0"/>
      <w:r w:rsidDel="00000000" w:rsidR="00000000" w:rsidRPr="00000000">
        <w:rPr>
          <w:rFonts w:ascii="Calibri" w:cs="Calibri" w:eastAsia="Calibri" w:hAnsi="Calibri"/>
          <w:i w:val="1"/>
          <w:color w:val="674ea7"/>
          <w:sz w:val="28"/>
          <w:szCs w:val="28"/>
          <w:rtl w:val="0"/>
        </w:rPr>
        <w:t xml:space="preserve">Data Quality Literacy Series 02</w:t>
      </w:r>
      <w:r w:rsidDel="00000000" w:rsidR="00000000" w:rsidRPr="00000000">
        <w:rPr>
          <w:rtl w:val="0"/>
        </w:rPr>
      </w:r>
    </w:p>
    <w:p w:rsidR="00000000" w:rsidDel="00000000" w:rsidP="00000000" w:rsidRDefault="00000000" w:rsidRPr="00000000" w14:paraId="00000004">
      <w:pPr>
        <w:pStyle w:val="Heading1"/>
        <w:spacing w:after="0" w:line="276" w:lineRule="auto"/>
        <w:rPr>
          <w:rFonts w:ascii="Calibri" w:cs="Calibri" w:eastAsia="Calibri" w:hAnsi="Calibri"/>
          <w:b w:val="1"/>
        </w:rPr>
      </w:pPr>
      <w:bookmarkStart w:colFirst="0" w:colLast="0" w:name="_f9inreeq6z7i" w:id="1"/>
      <w:bookmarkEnd w:id="1"/>
      <w:r w:rsidDel="00000000" w:rsidR="00000000" w:rsidRPr="00000000">
        <w:rPr>
          <w:rFonts w:ascii="Calibri" w:cs="Calibri" w:eastAsia="Calibri" w:hAnsi="Calibri"/>
          <w:b w:val="1"/>
          <w:rtl w:val="0"/>
        </w:rPr>
        <w:t xml:space="preserve">Evaluating Data Documentation</w:t>
      </w:r>
    </w:p>
    <w:p w:rsidR="00000000" w:rsidDel="00000000" w:rsidP="00000000" w:rsidRDefault="00000000" w:rsidRPr="00000000" w14:paraId="00000005">
      <w:pPr>
        <w:pStyle w:val="Heading2"/>
        <w:rPr>
          <w:rFonts w:ascii="Calibri" w:cs="Calibri" w:eastAsia="Calibri" w:hAnsi="Calibri"/>
        </w:rPr>
      </w:pPr>
      <w:bookmarkStart w:colFirst="0" w:colLast="0" w:name="_j1ssrr8ew9su" w:id="2"/>
      <w:bookmarkEnd w:id="2"/>
      <w:r w:rsidDel="00000000" w:rsidR="00000000" w:rsidRPr="00000000">
        <w:rPr>
          <w:rFonts w:ascii="Calibri" w:cs="Calibri" w:eastAsia="Calibri" w:hAnsi="Calibri"/>
          <w:rtl w:val="0"/>
        </w:rPr>
        <w:t xml:space="preserve">Data Documentation</w:t>
      </w:r>
    </w:p>
    <w:p w:rsidR="00000000" w:rsidDel="00000000" w:rsidP="00000000" w:rsidRDefault="00000000" w:rsidRPr="00000000" w14:paraId="00000006">
      <w:pPr>
        <w:spacing w:line="276" w:lineRule="auto"/>
        <w:rPr>
          <w:rFonts w:ascii="Calibri" w:cs="Calibri" w:eastAsia="Calibri" w:hAnsi="Calibri"/>
        </w:rPr>
      </w:pPr>
      <w:r w:rsidDel="00000000" w:rsidR="00000000" w:rsidRPr="00000000">
        <w:rPr>
          <w:rFonts w:ascii="Calibri" w:cs="Calibri" w:eastAsia="Calibri" w:hAnsi="Calibri"/>
          <w:rtl w:val="0"/>
        </w:rPr>
        <w:t xml:space="preserve">Data documentation provides the contextual information needed to discover, understand, access, and reuse data. Examples include README files, metadata, data dictionaries, codebooks, methodologies, survey instruments, and lab records. </w:t>
      </w:r>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rPr>
      </w:pPr>
      <w:bookmarkStart w:colFirst="0" w:colLast="0" w:name="_4yrklgssd6" w:id="3"/>
      <w:bookmarkEnd w:id="3"/>
      <w:r w:rsidDel="00000000" w:rsidR="00000000" w:rsidRPr="00000000">
        <w:rPr>
          <w:rFonts w:ascii="Calibri" w:cs="Calibri" w:eastAsia="Calibri" w:hAnsi="Calibri"/>
          <w:rtl w:val="0"/>
        </w:rPr>
        <w:t xml:space="preserve">Indicators of Documentation Quality</w:t>
      </w:r>
    </w:p>
    <w:p w:rsidR="00000000" w:rsidDel="00000000" w:rsidP="00000000" w:rsidRDefault="00000000" w:rsidRPr="00000000" w14:paraId="00000008">
      <w:pPr>
        <w:rPr/>
      </w:pPr>
      <w:r w:rsidDel="00000000" w:rsidR="00000000" w:rsidRPr="00000000">
        <w:rPr>
          <w:rFonts w:ascii="Calibri" w:cs="Calibri" w:eastAsia="Calibri" w:hAnsi="Calibri"/>
          <w:rtl w:val="0"/>
        </w:rPr>
        <w:t xml:space="preserve">Generally, data documentation is of higher quality if:</w:t>
      </w:r>
      <w:r w:rsidDel="00000000" w:rsidR="00000000" w:rsidRPr="00000000">
        <w:rPr>
          <w:rtl w:val="0"/>
        </w:rPr>
      </w:r>
    </w:p>
    <w:p w:rsidR="00000000" w:rsidDel="00000000" w:rsidP="00000000" w:rsidRDefault="00000000" w:rsidRPr="00000000" w14:paraId="00000009">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produced for use by researchers; </w:t>
      </w:r>
      <w:r w:rsidDel="00000000" w:rsidR="00000000" w:rsidRPr="00000000">
        <w:rPr>
          <w:rtl w:val="0"/>
        </w:rPr>
      </w:r>
    </w:p>
    <w:p w:rsidR="00000000" w:rsidDel="00000000" w:rsidP="00000000" w:rsidRDefault="00000000" w:rsidRPr="00000000" w14:paraId="0000000A">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transparent and well-documented by its creator; </w:t>
      </w:r>
    </w:p>
    <w:p w:rsidR="00000000" w:rsidDel="00000000" w:rsidP="00000000" w:rsidRDefault="00000000" w:rsidRPr="00000000" w14:paraId="0000000B">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it is validated via a peer review process; and</w:t>
      </w:r>
    </w:p>
    <w:p w:rsidR="00000000" w:rsidDel="00000000" w:rsidP="00000000" w:rsidRDefault="00000000" w:rsidRPr="00000000" w14:paraId="0000000C">
      <w:pPr>
        <w:numPr>
          <w:ilvl w:val="0"/>
          <w:numId w:val="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 and expertise are invested to curate it by experts. </w:t>
      </w:r>
      <w:r w:rsidDel="00000000" w:rsidR="00000000" w:rsidRPr="00000000">
        <w:rPr>
          <w:rtl w:val="0"/>
        </w:rPr>
      </w:r>
    </w:p>
    <w:p w:rsidR="00000000" w:rsidDel="00000000" w:rsidP="00000000" w:rsidRDefault="00000000" w:rsidRPr="00000000" w14:paraId="0000000D">
      <w:pPr>
        <w:pStyle w:val="Heading2"/>
        <w:rPr>
          <w:rFonts w:ascii="Calibri" w:cs="Calibri" w:eastAsia="Calibri" w:hAnsi="Calibri"/>
        </w:rPr>
      </w:pPr>
      <w:bookmarkStart w:colFirst="0" w:colLast="0" w:name="_x03cwf3fu8up" w:id="4"/>
      <w:bookmarkEnd w:id="4"/>
      <w:r w:rsidDel="00000000" w:rsidR="00000000" w:rsidRPr="00000000">
        <w:rPr>
          <w:rFonts w:ascii="Calibri" w:cs="Calibri" w:eastAsia="Calibri" w:hAnsi="Calibri"/>
          <w:rtl w:val="0"/>
        </w:rPr>
        <w:t xml:space="preserve">Characteristics of Good Data Documentation</w:t>
      </w:r>
    </w:p>
    <w:p w:rsidR="00000000" w:rsidDel="00000000" w:rsidP="00000000" w:rsidRDefault="00000000" w:rsidRPr="00000000" w14:paraId="0000000E">
      <w:pPr>
        <w:spacing w:line="276" w:lineRule="auto"/>
        <w:rPr>
          <w:rFonts w:ascii="Calibri" w:cs="Calibri" w:eastAsia="Calibri" w:hAnsi="Calibri"/>
        </w:rPr>
      </w:pPr>
      <w:r w:rsidDel="00000000" w:rsidR="00000000" w:rsidRPr="00000000">
        <w:rPr>
          <w:rFonts w:ascii="Calibri" w:cs="Calibri" w:eastAsia="Calibri" w:hAnsi="Calibri"/>
          <w:rtl w:val="0"/>
        </w:rPr>
        <w:t xml:space="preserve">Good data documentation tells the prospective user: </w:t>
      </w:r>
    </w:p>
    <w:p w:rsidR="00000000" w:rsidDel="00000000" w:rsidP="00000000" w:rsidRDefault="00000000" w:rsidRPr="00000000" w14:paraId="0000000F">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Why</w:t>
      </w:r>
      <w:r w:rsidDel="00000000" w:rsidR="00000000" w:rsidRPr="00000000">
        <w:rPr>
          <w:rFonts w:ascii="Calibri" w:cs="Calibri" w:eastAsia="Calibri" w:hAnsi="Calibri"/>
          <w:rtl w:val="0"/>
        </w:rPr>
        <w:t xml:space="preserve"> the data is collected (e.g., project context or descriptions);</w:t>
      </w:r>
    </w:p>
    <w:p w:rsidR="00000000" w:rsidDel="00000000" w:rsidP="00000000" w:rsidRDefault="00000000" w:rsidRPr="00000000" w14:paraId="00000010">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How</w:t>
      </w:r>
      <w:r w:rsidDel="00000000" w:rsidR="00000000" w:rsidRPr="00000000">
        <w:rPr>
          <w:rFonts w:ascii="Calibri" w:cs="Calibri" w:eastAsia="Calibri" w:hAnsi="Calibri"/>
          <w:rtl w:val="0"/>
        </w:rPr>
        <w:t xml:space="preserve"> the data is collected, structured, and managed (e.g., methodology, study design, sample, universe/population, questionnaires, restrictions, revision history);</w:t>
      </w:r>
    </w:p>
    <w:p w:rsidR="00000000" w:rsidDel="00000000" w:rsidP="00000000" w:rsidRDefault="00000000" w:rsidRPr="00000000" w14:paraId="00000011">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Who (or what)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the unit of analysis/observation is (e.g., individual, household, business establishment);</w:t>
      </w:r>
    </w:p>
    <w:p w:rsidR="00000000" w:rsidDel="00000000" w:rsidP="00000000" w:rsidRDefault="00000000" w:rsidRPr="00000000" w14:paraId="00000012">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Where</w:t>
      </w:r>
      <w:r w:rsidDel="00000000" w:rsidR="00000000" w:rsidRPr="00000000">
        <w:rPr>
          <w:rFonts w:ascii="Calibri" w:cs="Calibri" w:eastAsia="Calibri" w:hAnsi="Calibri"/>
          <w:rtl w:val="0"/>
        </w:rPr>
        <w:t xml:space="preserve"> is being covered</w:t>
      </w:r>
      <w:r w:rsidDel="00000000" w:rsidR="00000000" w:rsidRPr="00000000">
        <w:rPr>
          <w:rFonts w:ascii="Calibri" w:cs="Calibri" w:eastAsia="Calibri" w:hAnsi="Calibri"/>
          <w:rtl w:val="0"/>
        </w:rPr>
        <w:t xml:space="preserve"> and its granularity (e.g., geographic coverage and smallest geographic unit);</w:t>
      </w:r>
    </w:p>
    <w:p w:rsidR="00000000" w:rsidDel="00000000" w:rsidP="00000000" w:rsidRDefault="00000000" w:rsidRPr="00000000" w14:paraId="00000013">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When</w:t>
      </w:r>
      <w:r w:rsidDel="00000000" w:rsidR="00000000" w:rsidRPr="00000000">
        <w:rPr>
          <w:rFonts w:ascii="Calibri" w:cs="Calibri" w:eastAsia="Calibri" w:hAnsi="Calibri"/>
          <w:rtl w:val="0"/>
        </w:rPr>
        <w:t xml:space="preserve"> is covered (e.g., time periods covered, date of collection, or dates for different waves of collection); and</w:t>
      </w:r>
    </w:p>
    <w:p w:rsidR="00000000" w:rsidDel="00000000" w:rsidP="00000000" w:rsidRDefault="00000000" w:rsidRPr="00000000" w14:paraId="00000014">
      <w:pPr>
        <w:numPr>
          <w:ilvl w:val="0"/>
          <w:numId w:val="2"/>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b w:val="1"/>
          <w:rtl w:val="0"/>
        </w:rPr>
        <w:t xml:space="preserve">What</w:t>
      </w:r>
      <w:r w:rsidDel="00000000" w:rsidR="00000000" w:rsidRPr="00000000">
        <w:rPr>
          <w:rFonts w:ascii="Calibri" w:cs="Calibri" w:eastAsia="Calibri" w:hAnsi="Calibri"/>
          <w:rtl w:val="0"/>
        </w:rPr>
        <w:t xml:space="preserve"> concepts are being measured (e.g., variable data dictionary)?</w:t>
      </w:r>
      <w:r w:rsidDel="00000000" w:rsidR="00000000" w:rsidRPr="00000000">
        <w:rPr>
          <w:rtl w:val="0"/>
        </w:rPr>
      </w:r>
    </w:p>
    <w:p w:rsidR="00000000" w:rsidDel="00000000" w:rsidP="00000000" w:rsidRDefault="00000000" w:rsidRPr="00000000" w14:paraId="00000015">
      <w:pPr>
        <w:pStyle w:val="Heading2"/>
        <w:rPr>
          <w:rFonts w:ascii="Calibri" w:cs="Calibri" w:eastAsia="Calibri" w:hAnsi="Calibri"/>
        </w:rPr>
      </w:pPr>
      <w:bookmarkStart w:colFirst="0" w:colLast="0" w:name="_efyrp44su0o" w:id="5"/>
      <w:bookmarkEnd w:id="5"/>
      <w:r w:rsidDel="00000000" w:rsidR="00000000" w:rsidRPr="00000000">
        <w:rPr>
          <w:rFonts w:ascii="Calibri" w:cs="Calibri" w:eastAsia="Calibri" w:hAnsi="Calibri"/>
          <w:rtl w:val="0"/>
        </w:rPr>
        <w:t xml:space="preserve">Fill Data Documentation Gaps</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If you obtain a dataset without documentation or if the documentation is confusing or missing information, consider the following:</w:t>
      </w:r>
    </w:p>
    <w:p w:rsidR="00000000" w:rsidDel="00000000" w:rsidP="00000000" w:rsidRDefault="00000000" w:rsidRPr="00000000" w14:paraId="00000017">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Who collects the data?</w:t>
      </w:r>
      <w:r w:rsidDel="00000000" w:rsidR="00000000" w:rsidRPr="00000000">
        <w:rPr>
          <w:rFonts w:ascii="Calibri" w:cs="Calibri" w:eastAsia="Calibri" w:hAnsi="Calibri"/>
          <w:rtl w:val="0"/>
        </w:rPr>
        <w:t xml:space="preserve"> Is it a commercial vendor, government/organization, or individual researcher? You can research and connect with the potential data producers to request the details.</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Who distributes the data?</w:t>
      </w:r>
      <w:r w:rsidDel="00000000" w:rsidR="00000000" w:rsidRPr="00000000">
        <w:rPr>
          <w:rFonts w:ascii="Calibri" w:cs="Calibri" w:eastAsia="Calibri" w:hAnsi="Calibri"/>
          <w:rtl w:val="0"/>
        </w:rPr>
        <w:t xml:space="preserve"> Are they libraries or data archives/repositories, commercial/independent organizations, or other researchers? You may check your license, or tap into your network of other libraries or repositories that may purchase or distribute the data.</w:t>
      </w:r>
    </w:p>
    <w:p w:rsidR="00000000" w:rsidDel="00000000" w:rsidP="00000000" w:rsidRDefault="00000000" w:rsidRPr="00000000" w14:paraId="00000019">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Who uses the data? </w:t>
      </w:r>
      <w:r w:rsidDel="00000000" w:rsidR="00000000" w:rsidRPr="00000000">
        <w:rPr>
          <w:rFonts w:ascii="Calibri" w:cs="Calibri" w:eastAsia="Calibri" w:hAnsi="Calibri"/>
          <w:rtl w:val="0"/>
        </w:rPr>
        <w:t xml:space="preserve">Search for published articles, working papers, or unpublished works to find who uses the data. Connect with researchers to work out gaps in documentation. If many people use it, it is often another indicator of good data quality.</w:t>
      </w:r>
      <w:r w:rsidDel="00000000" w:rsidR="00000000" w:rsidRPr="00000000">
        <w:rPr>
          <w:rtl w:val="0"/>
        </w:rPr>
      </w:r>
    </w:p>
    <w:p w:rsidR="00000000" w:rsidDel="00000000" w:rsidP="00000000" w:rsidRDefault="00000000" w:rsidRPr="00000000" w14:paraId="0000001A">
      <w:pPr>
        <w:pStyle w:val="Heading2"/>
        <w:rPr>
          <w:rFonts w:ascii="Calibri" w:cs="Calibri" w:eastAsia="Calibri" w:hAnsi="Calibri"/>
        </w:rPr>
      </w:pPr>
      <w:bookmarkStart w:colFirst="0" w:colLast="0" w:name="_zrwlwrp623t" w:id="6"/>
      <w:bookmarkEnd w:id="6"/>
      <w:r w:rsidDel="00000000" w:rsidR="00000000" w:rsidRPr="00000000">
        <w:rPr>
          <w:rFonts w:ascii="Calibri" w:cs="Calibri" w:eastAsia="Calibri" w:hAnsi="Calibri"/>
          <w:rtl w:val="0"/>
        </w:rPr>
        <w:t xml:space="preserve">Comparing Documentation with Datasets</w:t>
      </w:r>
    </w:p>
    <w:p w:rsidR="00000000" w:rsidDel="00000000" w:rsidP="00000000" w:rsidRDefault="00000000" w:rsidRPr="00000000" w14:paraId="0000001B">
      <w:pPr>
        <w:spacing w:line="276" w:lineRule="auto"/>
        <w:rPr>
          <w:rFonts w:ascii="Calibri" w:cs="Calibri" w:eastAsia="Calibri" w:hAnsi="Calibri"/>
          <w:sz w:val="32"/>
          <w:szCs w:val="32"/>
        </w:rPr>
      </w:pPr>
      <w:r w:rsidDel="00000000" w:rsidR="00000000" w:rsidRPr="00000000">
        <w:rPr>
          <w:rFonts w:ascii="Calibri" w:cs="Calibri" w:eastAsia="Calibri" w:hAnsi="Calibri"/>
          <w:rtl w:val="0"/>
        </w:rPr>
        <w:t xml:space="preserve">After evaluating the critical information included in the data documentation, a further step is to compare the documentation with the datasets. This helps identify any undocumented variables, out-of-range codes, unexplained missing data, illogical skip patterns, or other discrepancies between the data and its documentation.</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widowControl w:val="0"/>
        <w:spacing w:before="11.12640380859375" w:line="240" w:lineRule="auto"/>
        <w:rPr>
          <w:rFonts w:ascii="Calibri" w:cs="Calibri" w:eastAsia="Calibri" w:hAnsi="Calibri"/>
          <w:b w:val="1"/>
          <w:sz w:val="24.079999923706055"/>
          <w:szCs w:val="24.079999923706055"/>
        </w:rPr>
      </w:pPr>
      <w:r w:rsidDel="00000000" w:rsidR="00000000" w:rsidRPr="00000000">
        <w:rPr>
          <w:rFonts w:ascii="Calibri" w:cs="Calibri" w:eastAsia="Calibri" w:hAnsi="Calibri"/>
          <w:b w:val="1"/>
          <w:sz w:val="24.079999923706055"/>
          <w:szCs w:val="24.079999923706055"/>
          <w:rtl w:val="0"/>
        </w:rPr>
        <w:t xml:space="preserve">References</w:t>
      </w:r>
    </w:p>
    <w:p w:rsidR="00000000" w:rsidDel="00000000" w:rsidP="00000000" w:rsidRDefault="00000000" w:rsidRPr="00000000" w14:paraId="0000001E">
      <w:pPr>
        <w:widowControl w:val="0"/>
        <w:spacing w:before="11.12640380859375" w:line="240" w:lineRule="auto"/>
        <w:rPr>
          <w:rFonts w:ascii="Calibri" w:cs="Calibri" w:eastAsia="Calibri" w:hAnsi="Calibri"/>
          <w:b w:val="1"/>
          <w:sz w:val="24.079999923706055"/>
          <w:szCs w:val="24.079999923706055"/>
        </w:rPr>
      </w:pPr>
      <w:r w:rsidDel="00000000" w:rsidR="00000000" w:rsidRPr="00000000">
        <w:rPr>
          <w:rtl w:val="0"/>
        </w:rPr>
      </w:r>
    </w:p>
    <w:p w:rsidR="00000000" w:rsidDel="00000000" w:rsidP="00000000" w:rsidRDefault="00000000" w:rsidRPr="00000000" w14:paraId="0000001F">
      <w:pPr>
        <w:spacing w:line="276" w:lineRule="auto"/>
        <w:ind w:left="360"/>
        <w:rPr>
          <w:rFonts w:ascii="Calibri" w:cs="Calibri" w:eastAsia="Calibri" w:hAnsi="Calibri"/>
        </w:rPr>
      </w:pPr>
      <w:r w:rsidDel="00000000" w:rsidR="00000000" w:rsidRPr="00000000">
        <w:rPr>
          <w:rFonts w:ascii="Calibri" w:cs="Calibri" w:eastAsia="Calibri" w:hAnsi="Calibri"/>
          <w:rtl w:val="0"/>
        </w:rPr>
        <w:t xml:space="preserve">Liu, G., Bordelon, B., Nagar, R., Sarti, J., Nguyen, U., &amp; Boettcher, J. (2024). </w:t>
      </w:r>
      <w:r w:rsidDel="00000000" w:rsidR="00000000" w:rsidRPr="00000000">
        <w:rPr>
          <w:rFonts w:ascii="Calibri" w:cs="Calibri" w:eastAsia="Calibri" w:hAnsi="Calibri"/>
          <w:i w:val="1"/>
          <w:rtl w:val="0"/>
        </w:rPr>
        <w:t xml:space="preserve">Data Quality Literacy: A Guidebook</w:t>
      </w:r>
      <w:r w:rsidDel="00000000" w:rsidR="00000000" w:rsidRPr="00000000">
        <w:rPr>
          <w:rFonts w:ascii="Calibri" w:cs="Calibri" w:eastAsia="Calibri" w:hAnsi="Calibri"/>
          <w:rtl w:val="0"/>
        </w:rPr>
        <w:t xml:space="preserve">. Institute of Museum and Library Services (IMLS) Grant Project. </w:t>
      </w:r>
      <w:hyperlink r:id="rId7">
        <w:r w:rsidDel="00000000" w:rsidR="00000000" w:rsidRPr="00000000">
          <w:rPr>
            <w:rFonts w:ascii="Calibri" w:cs="Calibri" w:eastAsia="Calibri" w:hAnsi="Calibri"/>
            <w:color w:val="1155cc"/>
            <w:u w:val="single"/>
            <w:rtl w:val="0"/>
          </w:rPr>
          <w:t xml:space="preserve">https://doi.org/10.31219/osf.io/ruawm</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20">
      <w:pPr>
        <w:spacing w:line="276"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ind w:left="360"/>
        <w:rPr>
          <w:rFonts w:ascii="Calibri" w:cs="Calibri" w:eastAsia="Calibri" w:hAnsi="Calibri"/>
        </w:rPr>
      </w:pPr>
      <w:r w:rsidDel="00000000" w:rsidR="00000000" w:rsidRPr="00000000">
        <w:rPr>
          <w:rtl w:val="0"/>
        </w:rPr>
      </w:r>
    </w:p>
    <w:p w:rsidR="00000000" w:rsidDel="00000000" w:rsidP="00000000" w:rsidRDefault="00000000" w:rsidRPr="00000000" w14:paraId="00000022">
      <w:pPr>
        <w:widowControl w:val="0"/>
        <w:spacing w:before="240" w:line="240" w:lineRule="auto"/>
        <w:rPr>
          <w:rFonts w:ascii="Calibri" w:cs="Calibri" w:eastAsia="Calibri" w:hAnsi="Calibri"/>
          <w:sz w:val="24"/>
          <w:szCs w:val="24"/>
        </w:rPr>
      </w:pPr>
      <w:r w:rsidDel="00000000" w:rsidR="00000000" w:rsidRPr="00000000">
        <w:rPr>
          <w:rtl w:val="0"/>
        </w:rPr>
      </w:r>
    </w:p>
    <w:tbl>
      <w:tblPr>
        <w:tblStyle w:val="Table1"/>
        <w:tblW w:w="957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570"/>
        <w:tblGridChange w:id="0">
          <w:tblGrid>
            <w:gridCol w:w="9570"/>
          </w:tblGrid>
        </w:tblGridChange>
      </w:tblGrid>
      <w:tr>
        <w:trPr>
          <w:cantSplit w:val="0"/>
          <w:trHeight w:val="20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jc w:val="center"/>
              <w:rPr>
                <w:rFonts w:ascii="Calibri" w:cs="Calibri" w:eastAsia="Calibri" w:hAnsi="Calibri"/>
                <w:sz w:val="20"/>
                <w:szCs w:val="20"/>
                <w:highlight w:val="white"/>
              </w:rPr>
            </w:pPr>
            <w:r w:rsidDel="00000000" w:rsidR="00000000" w:rsidRPr="00000000">
              <w:rPr>
                <w:rFonts w:ascii="Calibri" w:cs="Calibri" w:eastAsia="Calibri" w:hAnsi="Calibri"/>
                <w:sz w:val="20"/>
                <w:szCs w:val="20"/>
                <w:rtl w:val="0"/>
              </w:rPr>
              <w:t xml:space="preserve">The Knowledge Brief is compiled by Grace Liu, based on the National Forum presentation from Ron Nakao and Barbara Esty, reviewed by the IMLS Data Quality Literacy project team, and designed by Niko Galioto. This project was ma</w:t>
            </w:r>
            <w:r w:rsidDel="00000000" w:rsidR="00000000" w:rsidRPr="00000000">
              <w:rPr>
                <w:rFonts w:ascii="Calibri" w:cs="Calibri" w:eastAsia="Calibri" w:hAnsi="Calibri"/>
                <w:sz w:val="20"/>
                <w:szCs w:val="20"/>
                <w:highlight w:val="white"/>
                <w:rtl w:val="0"/>
              </w:rPr>
              <w:t xml:space="preserve">de possible in part by the Institute of Museum and Library Services [</w:t>
            </w:r>
            <w:hyperlink r:id="rId8">
              <w:r w:rsidDel="00000000" w:rsidR="00000000" w:rsidRPr="00000000">
                <w:rPr>
                  <w:rFonts w:ascii="Calibri" w:cs="Calibri" w:eastAsia="Calibri" w:hAnsi="Calibri"/>
                  <w:color w:val="1155cc"/>
                  <w:sz w:val="20"/>
                  <w:szCs w:val="20"/>
                  <w:highlight w:val="white"/>
                  <w:u w:val="single"/>
                  <w:rtl w:val="0"/>
                </w:rPr>
                <w:t xml:space="preserve">RE-252357-OLS-22</w:t>
              </w:r>
            </w:hyperlink>
            <w:r w:rsidDel="00000000" w:rsidR="00000000" w:rsidRPr="00000000">
              <w:rPr>
                <w:rFonts w:ascii="Calibri" w:cs="Calibri" w:eastAsia="Calibri" w:hAnsi="Calibri"/>
                <w:sz w:val="20"/>
                <w:szCs w:val="20"/>
                <w:highlight w:val="white"/>
                <w:rtl w:val="0"/>
              </w:rPr>
              <w:t xml:space="preserve">].</w:t>
            </w:r>
          </w:p>
          <w:p w:rsidR="00000000" w:rsidDel="00000000" w:rsidP="00000000" w:rsidRDefault="00000000" w:rsidRPr="00000000" w14:paraId="0000002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674ea7"/>
                <w:sz w:val="24"/>
                <w:szCs w:val="24"/>
              </w:rPr>
            </w:pPr>
            <w:r w:rsidDel="00000000" w:rsidR="00000000" w:rsidRPr="00000000">
              <w:rPr>
                <w:rFonts w:ascii="Calibri" w:cs="Calibri" w:eastAsia="Calibri" w:hAnsi="Calibri"/>
                <w:color w:val="674ea7"/>
                <w:sz w:val="24"/>
                <w:szCs w:val="24"/>
                <w:rtl w:val="0"/>
              </w:rPr>
              <w:t xml:space="preserve">Visit the project website to learn more!</w:t>
            </w:r>
          </w:p>
          <w:p w:rsidR="00000000" w:rsidDel="00000000" w:rsidP="00000000" w:rsidRDefault="00000000" w:rsidRPr="00000000" w14:paraId="00000026">
            <w:pPr>
              <w:jc w:val="center"/>
              <w:rPr>
                <w:rFonts w:ascii="Calibri" w:cs="Calibri" w:eastAsia="Calibri" w:hAnsi="Calibri"/>
                <w:sz w:val="24"/>
                <w:szCs w:val="24"/>
              </w:rPr>
            </w:pPr>
            <w:hyperlink r:id="rId9">
              <w:r w:rsidDel="00000000" w:rsidR="00000000" w:rsidRPr="00000000">
                <w:rPr>
                  <w:rFonts w:ascii="Calibri" w:cs="Calibri" w:eastAsia="Calibri" w:hAnsi="Calibri"/>
                  <w:color w:val="1155cc"/>
                  <w:sz w:val="24"/>
                  <w:szCs w:val="24"/>
                  <w:u w:val="single"/>
                  <w:rtl w:val="0"/>
                </w:rPr>
                <w:t xml:space="preserve">https://www.dataqualityliteracy.org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27">
      <w:pPr>
        <w:widowControl w:val="0"/>
        <w:spacing w:before="24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276" w:lineRule="auto"/>
        <w:ind w:left="360"/>
        <w:rPr>
          <w:rFonts w:ascii="Calibri" w:cs="Calibri" w:eastAsia="Calibri" w:hAnsi="Calibri"/>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Fonts w:ascii="Calibri" w:cs="Calibri" w:eastAsia="Calibri" w:hAnsi="Calibri"/>
        <w:i w:val="1"/>
        <w:color w:val="674ea7"/>
        <w:rtl w:val="0"/>
      </w:rPr>
      <w:t xml:space="preserve">Data Quality Literacy Series 02: Evaluating Data Documentation </w:t>
    </w:r>
    <w:r w:rsidDel="00000000" w:rsidR="00000000" w:rsidRPr="00000000">
      <w:rPr>
        <w:rFonts w:ascii="Calibri" w:cs="Calibri" w:eastAsia="Calibri" w:hAnsi="Calibri"/>
        <w:color w:val="674ea7"/>
        <w:rtl w:val="0"/>
      </w:rPr>
      <w:t xml:space="preserve">| Page </w:t>
    </w:r>
    <w:r w:rsidDel="00000000" w:rsidR="00000000" w:rsidRPr="00000000">
      <w:rPr>
        <w:rFonts w:ascii="Calibri" w:cs="Calibri" w:eastAsia="Calibri" w:hAnsi="Calibri"/>
        <w:color w:val="674ea7"/>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dataqualityliteracy.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i.org/10.31219/osf.io/ruawm" TargetMode="External"/><Relationship Id="rId8" Type="http://schemas.openxmlformats.org/officeDocument/2006/relationships/hyperlink" Target="https://www.imls.gov/grants/awarded/re-252357-ols-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