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ind w:firstLine="720"/>
      </w:pPr>
      <w:r>
        <w:rPr>
          <w:b w:val="1"/>
          <w:bCs w:val="1"/>
          <w:rtl w:val="0"/>
          <w:lang w:val="en-US"/>
        </w:rPr>
        <w:t>Getting started creating an individual assessment plan related to the Framework</w:t>
      </w:r>
    </w:p>
    <w:p>
      <w:pPr>
        <w:pStyle w:val="Body"/>
        <w:ind w:firstLine="720"/>
      </w:pPr>
    </w:p>
    <w:p>
      <w:pPr>
        <w:pStyle w:val="Body"/>
        <w:ind w:left="720" w:firstLine="720"/>
      </w:pPr>
      <w:r>
        <w:rPr>
          <w:b w:val="1"/>
          <w:bCs w:val="1"/>
          <w:rtl w:val="0"/>
          <w:lang w:val="en-US"/>
        </w:rPr>
        <w:t>Read and discuss Megan Oakleaf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  <w:lang w:val="en-US"/>
        </w:rPr>
        <w:t>s article:</w:t>
      </w:r>
    </w:p>
    <w:p>
      <w:pPr>
        <w:pStyle w:val="Body"/>
      </w:pPr>
      <w:r>
        <w:rPr>
          <w:rtl w:val="0"/>
        </w:rPr>
        <w:tab/>
        <w:tab/>
        <w:t xml:space="preserve"> “</w:t>
      </w:r>
      <w:r>
        <w:rPr>
          <w:rtl w:val="0"/>
        </w:rPr>
        <w:t>The Information Literacy Instruction Assessment Cycle: A Guide for Increasing</w:t>
      </w:r>
    </w:p>
    <w:p>
      <w:pPr>
        <w:pStyle w:val="Body"/>
        <w:ind w:left="1440" w:firstLine="0"/>
      </w:pPr>
      <w:r>
        <w:rPr>
          <w:rtl w:val="0"/>
          <w:lang w:val="en-US"/>
        </w:rPr>
        <w:t xml:space="preserve">  Student Learning and Improving Librarian Instructional Skills.</w:t>
      </w:r>
      <w:r>
        <w:rPr>
          <w:rtl w:val="0"/>
        </w:rPr>
        <w:t xml:space="preserve">” </w:t>
      </w:r>
      <w:r>
        <w:rPr>
          <w:rtl w:val="0"/>
          <w:lang w:val="en-US"/>
        </w:rPr>
        <w:t xml:space="preserve">(Journal of </w:t>
      </w:r>
    </w:p>
    <w:p>
      <w:pPr>
        <w:pStyle w:val="Body"/>
        <w:ind w:left="1440" w:firstLine="0"/>
      </w:pPr>
      <w:r>
        <w:rPr>
          <w:rtl w:val="0"/>
          <w:lang w:val="it-IT"/>
        </w:rPr>
        <w:t xml:space="preserve">  Documentation 65, no. 4, (2009): 539-560.)</w:t>
      </w:r>
    </w:p>
    <w:p>
      <w:pPr>
        <w:pStyle w:val="Body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Select one Knowledge Practice for each Frame, or use one you created</w:t>
      </w:r>
    </w:p>
    <w:p>
      <w:pPr>
        <w:pStyle w:val="Body"/>
        <w:ind w:left="1440" w:firstLine="0"/>
      </w:pPr>
      <w:r>
        <w:rPr>
          <w:rtl w:val="0"/>
          <w:lang w:val="en-US"/>
        </w:rPr>
        <w:t xml:space="preserve">specifically for your student body </w:t>
      </w:r>
    </w:p>
    <w:p>
      <w:pPr>
        <w:pStyle w:val="Body"/>
        <w:numPr>
          <w:ilvl w:val="0"/>
          <w:numId w:val="4"/>
        </w:numPr>
        <w:rPr>
          <w:u w:val="none"/>
          <w:lang w:val="en-US"/>
        </w:rPr>
      </w:pPr>
      <w:r>
        <w:rPr>
          <w:rtl w:val="0"/>
          <w:lang w:val="en-US"/>
        </w:rPr>
        <w:t>Write a learning outcome for that Knowledge Practice.</w:t>
      </w:r>
    </w:p>
    <w:p>
      <w:pPr>
        <w:pStyle w:val="Body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Create a lesson plan that teaches to the learning outcome you wrote.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>Create an assessment for your learning outcome.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</w:p>
    <w:p>
      <w:pPr>
        <w:pStyle w:val="Body"/>
        <w:ind w:left="720" w:firstLine="720"/>
      </w:pPr>
      <w:r>
        <w:rPr>
          <w:b w:val="1"/>
          <w:bCs w:val="1"/>
          <w:rtl w:val="0"/>
          <w:lang w:val="en-US"/>
        </w:rPr>
        <w:t>This could be used as a handout or worksheet for writing learning outcomes and assessments for each Frame of the Framework:</w:t>
      </w:r>
    </w:p>
    <w:p>
      <w:pPr>
        <w:pStyle w:val="Body"/>
      </w:pPr>
    </w:p>
    <w:p>
      <w:pPr>
        <w:pStyle w:val="Body"/>
      </w:pPr>
      <w:r>
        <w:rPr>
          <w:rtl w:val="0"/>
        </w:rPr>
        <w:t>Template:</w:t>
      </w:r>
    </w:p>
    <w:p>
      <w:pPr>
        <w:pStyle w:val="Body"/>
      </w:pPr>
      <w:r>
        <w:rPr>
          <w:rtl w:val="0"/>
        </w:rPr>
        <w:t xml:space="preserve">     Frame</w:t>
      </w:r>
    </w:p>
    <w:p>
      <w:pPr>
        <w:pStyle w:val="Body"/>
      </w:pPr>
      <w:r>
        <w:rPr>
          <w:rtl w:val="0"/>
        </w:rPr>
        <w:t xml:space="preserve">     Knowledge Practice</w:t>
      </w:r>
    </w:p>
    <w:p>
      <w:pPr>
        <w:pStyle w:val="Body"/>
      </w:pPr>
      <w:r>
        <w:rPr>
          <w:rtl w:val="0"/>
        </w:rPr>
        <w:t xml:space="preserve">     Learning outcome</w:t>
      </w:r>
    </w:p>
    <w:p>
      <w:pPr>
        <w:pStyle w:val="Body"/>
      </w:pPr>
      <w:r>
        <w:rPr>
          <w:rtl w:val="0"/>
        </w:rPr>
        <w:t xml:space="preserve">     Lesson plan</w:t>
      </w:r>
    </w:p>
    <w:p>
      <w:pPr>
        <w:pStyle w:val="Body"/>
      </w:pPr>
      <w:r>
        <w:rPr>
          <w:rtl w:val="0"/>
        </w:rPr>
        <w:t xml:space="preserve">     Assessment</w:t>
      </w:r>
    </w:p>
    <w:p>
      <w:pPr>
        <w:pStyle w:val="Body"/>
      </w:pPr>
    </w:p>
    <w:p>
      <w:pPr>
        <w:pStyle w:val="Body"/>
      </w:pPr>
      <w:r>
        <w:rPr>
          <w:rtl w:val="0"/>
        </w:rPr>
        <w:t>Examples: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Frame:  Authority is Constructed and Contextual</w:t>
      </w:r>
    </w:p>
    <w:p>
      <w:pPr>
        <w:pStyle w:val="Body"/>
      </w:pPr>
      <w:r>
        <w:rPr>
          <w:i w:val="1"/>
          <w:iCs w:val="1"/>
          <w:rtl w:val="0"/>
          <w:lang w:val="en-US"/>
        </w:rPr>
        <w:t>Knowledge Practice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 Define different types of authority, such as subject expertise (e.g., scholarship), societal position (e.g., public office or title), or special experience (e.g., participating in a historic event).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en-US"/>
        </w:rPr>
        <w:t>Learning outcome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The student will analyze different sources of writing in order to discriminate between different types of authority.  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fr-FR"/>
        </w:rPr>
        <w:t>Lesson plan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Share both usual and unusual types of resources and discuss, including </w:t>
      </w:r>
    </w:p>
    <w:p>
      <w:pPr>
        <w:pStyle w:val="Body"/>
      </w:pPr>
      <w:r>
        <w:rPr>
          <w:rtl w:val="0"/>
        </w:rPr>
        <w:t xml:space="preserve">     A scholarly article on a pop culture topic</w:t>
      </w:r>
    </w:p>
    <w:p>
      <w:pPr>
        <w:pStyle w:val="Body"/>
      </w:pPr>
      <w:r>
        <w:rPr>
          <w:rtl w:val="0"/>
        </w:rPr>
        <w:t xml:space="preserve">     A dense and accurate Wikipedia article</w:t>
      </w:r>
    </w:p>
    <w:p>
      <w:pPr>
        <w:pStyle w:val="Body"/>
      </w:pPr>
      <w:r>
        <w:rPr>
          <w:rtl w:val="0"/>
        </w:rPr>
        <w:t xml:space="preserve">     A blog post by a scholar</w:t>
      </w:r>
    </w:p>
    <w:p>
      <w:pPr>
        <w:pStyle w:val="Body"/>
      </w:pPr>
      <w:r>
        <w:rPr>
          <w:rtl w:val="0"/>
        </w:rPr>
        <w:t>Create a short-answer worksheet where students discuss authority of each resource.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it-IT"/>
        </w:rPr>
        <w:t>Assessment</w:t>
      </w:r>
      <w:r>
        <w:rPr>
          <w:rtl w:val="0"/>
        </w:rPr>
        <w:t xml:space="preserve">:  Worksheet analysis 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Frame:  Information Creation as a Process</w:t>
      </w:r>
    </w:p>
    <w:p>
      <w:pPr>
        <w:pStyle w:val="Body"/>
      </w:pPr>
      <w:r>
        <w:rPr>
          <w:i w:val="1"/>
          <w:iCs w:val="1"/>
          <w:rtl w:val="0"/>
          <w:lang w:val="en-US"/>
        </w:rPr>
        <w:t>Knowledge Practice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Articulate the capabilities and constraints of information developed through various creation processes.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en-US"/>
        </w:rPr>
        <w:t>Learning outcome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>Students will compare characteristics of different types of publications in order to further understand the unique capabilities and constraints of the information creation process.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fr-FR"/>
        </w:rPr>
        <w:t>Lesson plan</w:t>
      </w:r>
      <w:r>
        <w:rPr>
          <w:rtl w:val="0"/>
        </w:rPr>
        <w:t>:</w:t>
      </w:r>
    </w:p>
    <w:p>
      <w:pPr>
        <w:pStyle w:val="Body"/>
      </w:pPr>
      <w:r>
        <w:rPr>
          <w:rtl w:val="0"/>
          <w:lang w:val="de-DE"/>
        </w:rPr>
        <w:t xml:space="preserve">     Use Kevin Seeber</w:t>
      </w:r>
      <w:r>
        <w:rPr>
          <w:rtl w:val="0"/>
        </w:rPr>
        <w:t>’</w:t>
      </w:r>
      <w:r>
        <w:rPr>
          <w:rtl w:val="0"/>
        </w:rPr>
        <w:t>s process cards to stimulate class discussion on the information cycle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it-IT"/>
        </w:rPr>
        <w:t>Assessment</w:t>
      </w:r>
      <w:r>
        <w:rPr>
          <w:rtl w:val="0"/>
        </w:rPr>
        <w:t>:  Formative feedback during the learning activity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de-DE"/>
        </w:rPr>
        <w:t>Frame:  Information Has Value</w:t>
      </w:r>
    </w:p>
    <w:p>
      <w:pPr>
        <w:pStyle w:val="Body"/>
      </w:pPr>
      <w:r>
        <w:rPr>
          <w:i w:val="1"/>
          <w:iCs w:val="1"/>
          <w:rtl w:val="0"/>
          <w:lang w:val="en-US"/>
        </w:rPr>
        <w:t>Knowledge Practice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 Give credit to the original ideas of others through proper attribution and citation.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en-US"/>
        </w:rPr>
        <w:t>Learning outcome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>Students will identify the citation elements needed in order to properly cite their sources.</w:t>
      </w:r>
    </w:p>
    <w:p>
      <w:pPr>
        <w:pStyle w:val="Body"/>
      </w:pPr>
      <w:r>
        <w:rPr>
          <w:i w:val="1"/>
          <w:iCs w:val="1"/>
          <w:rtl w:val="0"/>
          <w:lang w:val="fr-FR"/>
        </w:rPr>
        <w:t>Lesson plan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 Use Purdue OWL as template and process for building a citation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it-IT"/>
        </w:rPr>
        <w:t>Assessment</w:t>
      </w:r>
      <w:r>
        <w:rPr>
          <w:rtl w:val="0"/>
        </w:rPr>
        <w:t>:  Ask professor to share copies of the students</w:t>
      </w:r>
      <w:r>
        <w:rPr>
          <w:rtl w:val="0"/>
        </w:rPr>
        <w:t xml:space="preserve">’ </w:t>
      </w:r>
      <w:r>
        <w:rPr>
          <w:rtl w:val="0"/>
        </w:rPr>
        <w:t>works cited pages for review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Frame:  Research as Inquiry</w:t>
      </w:r>
    </w:p>
    <w:p>
      <w:pPr>
        <w:pStyle w:val="Body"/>
      </w:pPr>
      <w:r>
        <w:rPr>
          <w:i w:val="1"/>
          <w:iCs w:val="1"/>
          <w:rtl w:val="0"/>
          <w:lang w:val="en-US"/>
        </w:rPr>
        <w:t>Knowledge Practice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 Determine an appropriate scope of investigation.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en-US"/>
        </w:rPr>
        <w:t>Learning outcome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>Students will examine an entry in Wikipedia in order to consider various categories of knowledge possible for a given topic.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fr-FR"/>
        </w:rPr>
        <w:t>Lesson plan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 Importance of having an overview of a topic, or </w:t>
      </w:r>
      <w:r>
        <w:rPr>
          <w:rtl w:val="0"/>
        </w:rPr>
        <w:t>“</w:t>
      </w:r>
      <w:r>
        <w:rPr>
          <w:rtl w:val="0"/>
        </w:rPr>
        <w:t>pre-search</w:t>
      </w:r>
      <w:r>
        <w:rPr>
          <w:rtl w:val="0"/>
        </w:rPr>
        <w:t>”</w:t>
      </w:r>
    </w:p>
    <w:p>
      <w:pPr>
        <w:pStyle w:val="Body"/>
      </w:pPr>
      <w:r>
        <w:rPr>
          <w:rtl w:val="0"/>
        </w:rPr>
        <w:t xml:space="preserve">     Wikipedia article on Hip hop music:</w:t>
      </w:r>
    </w:p>
    <w:p>
      <w:pPr>
        <w:pStyle w:val="Body"/>
      </w:pPr>
      <w:r>
        <w:rPr>
          <w:rtl w:val="0"/>
        </w:rPr>
        <w:t xml:space="preserve">     Show table of contents, with origin of the term, sections by decades, notes, references, external links.  Also, column on right side with all of the links: stylistic origins, cultural origins, typical instruments, derivative forms, sub-genres, fusion genres, and regional scenes.     </w:t>
      </w:r>
    </w:p>
    <w:p>
      <w:pPr>
        <w:pStyle w:val="Body"/>
      </w:pPr>
      <w:r>
        <w:rPr>
          <w:rtl w:val="0"/>
        </w:rPr>
        <w:t xml:space="preserve">      Wikipedia provides definitions, terms, timelines, people, and places associated with a topic.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it-IT"/>
        </w:rPr>
        <w:t>Assessment</w:t>
      </w:r>
      <w:r>
        <w:rPr>
          <w:rtl w:val="0"/>
        </w:rPr>
        <w:t>:  3 minute quiz at the end of class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Frame:  Scholarship as Conversation</w:t>
      </w:r>
    </w:p>
    <w:p>
      <w:pPr>
        <w:pStyle w:val="Body"/>
      </w:pPr>
      <w:r>
        <w:rPr>
          <w:i w:val="1"/>
          <w:iCs w:val="1"/>
          <w:rtl w:val="0"/>
          <w:lang w:val="en-US"/>
        </w:rPr>
        <w:t>Knowledge Practice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 Recognize that a given scholarly work may not represent the only - or even the majority - perspective on the issue.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en-US"/>
        </w:rPr>
        <w:t>Learning outcome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Students will interpret the </w:t>
      </w:r>
      <w:r>
        <w:rPr>
          <w:rtl w:val="0"/>
        </w:rPr>
        <w:t>“</w:t>
      </w:r>
      <w:r>
        <w:rPr>
          <w:rtl w:val="0"/>
        </w:rPr>
        <w:t>Average Number of Edits</w:t>
      </w:r>
      <w:r>
        <w:rPr>
          <w:rtl w:val="0"/>
        </w:rPr>
        <w:t xml:space="preserve">” </w:t>
      </w:r>
      <w:r>
        <w:rPr>
          <w:rtl w:val="0"/>
        </w:rPr>
        <w:t xml:space="preserve">map in order to recognize the limitations of Wikipedia.  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fr-FR"/>
        </w:rPr>
        <w:t>Lesson plan</w:t>
      </w:r>
      <w:r>
        <w:rPr>
          <w:rtl w:val="0"/>
        </w:rPr>
        <w:t>:</w:t>
      </w:r>
    </w:p>
    <w:p>
      <w:pPr>
        <w:pStyle w:val="Body"/>
      </w:pPr>
      <w:r>
        <w:rPr>
          <w:rtl w:val="0"/>
        </w:rPr>
        <w:t xml:space="preserve">     Use the Wikipedia graphic </w:t>
      </w:r>
      <w:r>
        <w:rPr>
          <w:rtl w:val="0"/>
        </w:rPr>
        <w:t>“</w:t>
      </w:r>
      <w:r>
        <w:rPr>
          <w:rtl w:val="0"/>
        </w:rPr>
        <w:t>Average Number of Edits to Wikipedia, by Country of Origin</w:t>
      </w:r>
      <w:r>
        <w:rPr>
          <w:rtl w:val="0"/>
        </w:rPr>
        <w:t xml:space="preserve">” </w:t>
      </w:r>
      <w:r>
        <w:rPr>
          <w:rtl w:val="0"/>
        </w:rPr>
        <w:t xml:space="preserve">from </w:t>
      </w:r>
      <w:r>
        <w:rPr>
          <w:i w:val="1"/>
          <w:iCs w:val="1"/>
          <w:rtl w:val="0"/>
          <w:lang w:val="en-US"/>
        </w:rPr>
        <w:t>The Atlantic Monthly</w:t>
      </w:r>
      <w:r>
        <w:rPr>
          <w:rtl w:val="0"/>
        </w:rPr>
        <w:t xml:space="preserve"> article </w:t>
      </w:r>
      <w:r>
        <w:rPr>
          <w:rtl w:val="0"/>
        </w:rPr>
        <w:t>“</w:t>
      </w:r>
      <w:r>
        <w:rPr>
          <w:rtl w:val="0"/>
        </w:rPr>
        <w:t>The Lopsided Geography of Wikipedia</w:t>
      </w:r>
      <w:r>
        <w:rPr>
          <w:rtl w:val="0"/>
        </w:rPr>
        <w:t>”</w:t>
      </w:r>
      <w:r>
        <w:rPr>
          <w:rtl w:val="0"/>
        </w:rPr>
        <w:t>, by Uri Friedman to stimulate discussion on scope and bias.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it-IT"/>
        </w:rPr>
        <w:t>Assessment</w:t>
      </w:r>
      <w:r>
        <w:rPr>
          <w:rtl w:val="0"/>
        </w:rPr>
        <w:t>:  One minute paper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Frame:  Searching as Strategic Exploration</w:t>
      </w:r>
    </w:p>
    <w:p>
      <w:pPr>
        <w:pStyle w:val="Body"/>
      </w:pPr>
      <w:r>
        <w:rPr>
          <w:i w:val="1"/>
          <w:iCs w:val="1"/>
          <w:rtl w:val="0"/>
          <w:lang w:val="en-US"/>
        </w:rPr>
        <w:t>Knowledge Practices</w:t>
      </w:r>
      <w:r>
        <w:rPr>
          <w:rtl w:val="0"/>
        </w:rPr>
        <w:t>:</w:t>
      </w:r>
    </w:p>
    <w:p>
      <w:pPr>
        <w:pStyle w:val="Body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Match information needs and search strategies to appropriate research tools</w:t>
      </w:r>
    </w:p>
    <w:p>
      <w:pPr>
        <w:pStyle w:val="Body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Use different types of searching language (controlled vocabulary, keywords, natural language) appropriately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     </w:t>
      </w:r>
    </w:p>
    <w:p>
      <w:pPr>
        <w:pStyle w:val="Body"/>
      </w:pPr>
      <w:r>
        <w:rPr>
          <w:i w:val="1"/>
          <w:iCs w:val="1"/>
          <w:rtl w:val="0"/>
          <w:lang w:val="en-US"/>
        </w:rPr>
        <w:t>Learning outcome</w:t>
      </w:r>
    </w:p>
    <w:p>
      <w:pPr>
        <w:pStyle w:val="Body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>Students will select an appropriate database in order to begin researching their topic.</w:t>
      </w:r>
    </w:p>
    <w:p>
      <w:pPr>
        <w:pStyle w:val="Body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>Students will search terms in the Subject Terms or Thesaurus of a database in order to become familiar with the structure of terms within the database.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fr-FR"/>
        </w:rPr>
        <w:t>Lesson plan</w:t>
      </w:r>
      <w:r>
        <w:rPr>
          <w:rtl w:val="0"/>
        </w:rPr>
        <w:t>:</w:t>
      </w:r>
    </w:p>
    <w:p>
      <w:pPr>
        <w:pStyle w:val="Body"/>
        <w:numPr>
          <w:ilvl w:val="0"/>
          <w:numId w:val="14"/>
        </w:numPr>
        <w:rPr>
          <w:lang w:val="en-US"/>
        </w:rPr>
      </w:pPr>
      <w:r>
        <w:rPr>
          <w:rtl w:val="0"/>
          <w:lang w:val="en-US"/>
        </w:rPr>
        <w:t>Search various tools (Google, Academic Search Complete, and PsycArticles) in small groups and compare results.</w:t>
      </w:r>
    </w:p>
    <w:p>
      <w:pPr>
        <w:pStyle w:val="Body"/>
        <w:numPr>
          <w:ilvl w:val="0"/>
          <w:numId w:val="14"/>
        </w:numPr>
        <w:rPr>
          <w:lang w:val="en-US"/>
        </w:rPr>
      </w:pPr>
      <w:r>
        <w:rPr>
          <w:rtl w:val="0"/>
          <w:lang w:val="en-US"/>
        </w:rPr>
        <w:t>Introduce the concept of controlled vocabulary and have students search together in pairs and share results.</w:t>
      </w: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it-IT"/>
        </w:rPr>
        <w:t>Assessment</w:t>
      </w:r>
      <w:r>
        <w:rPr>
          <w:rtl w:val="0"/>
        </w:rPr>
        <w:t>:  Worksheet for each scenario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