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EC08D" w14:textId="3676055D" w:rsidR="005D6964" w:rsidRPr="00870CEA" w:rsidRDefault="00B52C21" w:rsidP="005D6964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Lesson Plan: The Scholarly Article Autopsy</w:t>
      </w:r>
    </w:p>
    <w:p w14:paraId="13EDA749" w14:textId="77777777" w:rsidR="005D6964" w:rsidRPr="00870CEA" w:rsidRDefault="005D6964" w:rsidP="005D6964">
      <w:pPr>
        <w:spacing w:line="240" w:lineRule="auto"/>
        <w:rPr>
          <w:b/>
        </w:rPr>
      </w:pPr>
    </w:p>
    <w:p w14:paraId="1F3748A1" w14:textId="16F7C601" w:rsidR="005D6964" w:rsidRDefault="008C668E" w:rsidP="005D6964">
      <w:pPr>
        <w:spacing w:line="240" w:lineRule="auto"/>
      </w:pPr>
      <w:r>
        <w:t>Krista Bowers Sharpe</w:t>
      </w:r>
      <w:r w:rsidR="001C1AA4">
        <w:t xml:space="preserve"> (ka-bowers-sharpe@wiu.edu)</w:t>
      </w:r>
    </w:p>
    <w:p w14:paraId="26EA094E" w14:textId="3A73D088" w:rsidR="005D6964" w:rsidRDefault="008C668E" w:rsidP="005D6964">
      <w:pPr>
        <w:spacing w:line="240" w:lineRule="auto"/>
      </w:pPr>
      <w:r>
        <w:t>Western Illinois University</w:t>
      </w:r>
      <w:r w:rsidR="001C1AA4">
        <w:t xml:space="preserve"> Libraries</w:t>
      </w:r>
    </w:p>
    <w:p w14:paraId="7B73AD61" w14:textId="77777777" w:rsidR="00017856" w:rsidRDefault="00017856" w:rsidP="005D6964">
      <w:pPr>
        <w:spacing w:line="240" w:lineRule="auto"/>
      </w:pPr>
    </w:p>
    <w:p w14:paraId="1FCF5D59" w14:textId="7141E8AC" w:rsidR="005D6964" w:rsidRDefault="00CF2B6E" w:rsidP="005D6964">
      <w:pPr>
        <w:spacing w:line="240" w:lineRule="auto"/>
      </w:pPr>
      <w:r w:rsidRPr="00CF2B6E">
        <w:rPr>
          <w:b/>
        </w:rPr>
        <w:t>Audience</w:t>
      </w:r>
      <w:r>
        <w:t>:</w:t>
      </w:r>
      <w:r w:rsidR="001C1AA4">
        <w:t xml:space="preserve"> S</w:t>
      </w:r>
      <w:r w:rsidR="008C668E">
        <w:t xml:space="preserve">tudents taking </w:t>
      </w:r>
      <w:r w:rsidR="001C1AA4">
        <w:t xml:space="preserve">a </w:t>
      </w:r>
      <w:r w:rsidR="008C668E">
        <w:t>research methods course</w:t>
      </w:r>
      <w:r w:rsidR="006A04BC">
        <w:t xml:space="preserve"> in the major</w:t>
      </w:r>
      <w:r w:rsidR="001C1AA4">
        <w:t xml:space="preserve"> (SOC 323 and ANTH 305)</w:t>
      </w:r>
      <w:r w:rsidR="00AD0306">
        <w:t xml:space="preserve">; could be adapted to </w:t>
      </w:r>
      <w:r w:rsidR="002F5FDE">
        <w:t xml:space="preserve">any </w:t>
      </w:r>
      <w:r w:rsidR="00AD0306">
        <w:t>settin</w:t>
      </w:r>
      <w:r w:rsidR="002F5FDE">
        <w:t xml:space="preserve">g that </w:t>
      </w:r>
      <w:r w:rsidR="001C1AA4">
        <w:t>requires in-depth examination of</w:t>
      </w:r>
      <w:r w:rsidR="002F5FDE">
        <w:t xml:space="preserve"> information creation processes, the construction of authority, and the contextual appropriateness of sources.</w:t>
      </w:r>
    </w:p>
    <w:p w14:paraId="47F403E7" w14:textId="77777777" w:rsidR="005D6964" w:rsidRDefault="005D6964" w:rsidP="005D6964">
      <w:pPr>
        <w:spacing w:line="240" w:lineRule="auto"/>
      </w:pPr>
    </w:p>
    <w:p w14:paraId="19DCB163" w14:textId="6E32A6EC" w:rsidR="00FF500A" w:rsidRDefault="00FF500A" w:rsidP="00FF500A">
      <w:r w:rsidRPr="00FF500A">
        <w:rPr>
          <w:b/>
          <w:color w:val="auto"/>
        </w:rPr>
        <w:t>Overview</w:t>
      </w:r>
      <w:r>
        <w:t xml:space="preserve">:  This </w:t>
      </w:r>
      <w:r w:rsidR="00B52C21">
        <w:t>lesson is intended as a single session within a major’s research methods course. Rather than using a shorter “scholarly vs. non</w:t>
      </w:r>
      <w:r w:rsidR="002F5FDE">
        <w:t>-</w:t>
      </w:r>
      <w:r w:rsidR="00B52C21">
        <w:t xml:space="preserve">scholarly” comparison worksheet, this activity </w:t>
      </w:r>
      <w:r>
        <w:t>asks students to work in groups to systematically examine a scholarly article</w:t>
      </w:r>
      <w:r w:rsidR="00B52C21">
        <w:t xml:space="preserve"> in depth</w:t>
      </w:r>
      <w:r>
        <w:t xml:space="preserve">, identify </w:t>
      </w:r>
      <w:r w:rsidR="0050118B">
        <w:t>and evaluat</w:t>
      </w:r>
      <w:r w:rsidR="00B52C21">
        <w:t>e</w:t>
      </w:r>
      <w:r w:rsidR="0050118B">
        <w:t xml:space="preserve"> </w:t>
      </w:r>
      <w:r w:rsidR="00B52C21">
        <w:t>its</w:t>
      </w:r>
      <w:r>
        <w:t xml:space="preserve"> various components visually and in writing, and then compare it to a non-scholarly article on the same topic.</w:t>
      </w:r>
      <w:r w:rsidR="00103747">
        <w:t xml:space="preserve"> Groups then report back to the entire class</w:t>
      </w:r>
      <w:r w:rsidR="00AD0306">
        <w:t>. D</w:t>
      </w:r>
      <w:r w:rsidR="00103747">
        <w:t xml:space="preserve">iscussion is guided so as to touch </w:t>
      </w:r>
      <w:r w:rsidR="00AD0306">
        <w:t xml:space="preserve">on the </w:t>
      </w:r>
      <w:r w:rsidR="00B52C21">
        <w:t xml:space="preserve">processes by which </w:t>
      </w:r>
      <w:r w:rsidR="00AD0306">
        <w:t>sources are created</w:t>
      </w:r>
      <w:r w:rsidR="00B52C21">
        <w:t xml:space="preserve">, </w:t>
      </w:r>
      <w:r w:rsidR="00AD0306">
        <w:t xml:space="preserve">what these methods say about their authority, and to </w:t>
      </w:r>
      <w:r w:rsidR="00B52C21">
        <w:t>consider</w:t>
      </w:r>
      <w:r w:rsidR="00103747">
        <w:t xml:space="preserve"> contextu</w:t>
      </w:r>
      <w:r w:rsidR="00AD0306">
        <w:t>ally appropriate uses for them.</w:t>
      </w:r>
    </w:p>
    <w:p w14:paraId="5086881F" w14:textId="77777777" w:rsidR="00FF500A" w:rsidRDefault="00FF500A" w:rsidP="00FF500A"/>
    <w:p w14:paraId="428DE9C6" w14:textId="5339ED1E" w:rsidR="00FF500A" w:rsidRDefault="00FF500A" w:rsidP="00FF500A">
      <w:r w:rsidRPr="00614469">
        <w:rPr>
          <w:b/>
        </w:rPr>
        <w:t>Time duration</w:t>
      </w:r>
      <w:r>
        <w:rPr>
          <w:b/>
        </w:rPr>
        <w:t xml:space="preserve">: </w:t>
      </w:r>
      <w:r w:rsidR="0050118B">
        <w:t xml:space="preserve">Ideally </w:t>
      </w:r>
      <w:r w:rsidR="00036E49">
        <w:t xml:space="preserve">at least </w:t>
      </w:r>
      <w:r w:rsidR="0050118B">
        <w:t xml:space="preserve">75 minutes; </w:t>
      </w:r>
      <w:r>
        <w:t>a shortened version can be fit into 50 minutes</w:t>
      </w:r>
      <w:r w:rsidR="0050118B">
        <w:t xml:space="preserve">, but resulting student learning is </w:t>
      </w:r>
      <w:r w:rsidR="003C0224">
        <w:t>m</w:t>
      </w:r>
      <w:r w:rsidR="0050118B">
        <w:t>ore superficial</w:t>
      </w:r>
    </w:p>
    <w:p w14:paraId="5E76F947" w14:textId="77777777" w:rsidR="005D6964" w:rsidRDefault="005D6964" w:rsidP="005D6964">
      <w:pPr>
        <w:spacing w:line="240" w:lineRule="auto"/>
      </w:pPr>
    </w:p>
    <w:p w14:paraId="15460DD5" w14:textId="77777777" w:rsidR="005D6964" w:rsidRDefault="005D6964" w:rsidP="005D6964">
      <w:pPr>
        <w:spacing w:line="240" w:lineRule="auto"/>
      </w:pPr>
      <w:r w:rsidRPr="001A1010">
        <w:rPr>
          <w:b/>
        </w:rPr>
        <w:t>Objectives</w:t>
      </w:r>
      <w:r>
        <w:t>:</w:t>
      </w:r>
    </w:p>
    <w:p w14:paraId="2AEF459B" w14:textId="77777777" w:rsidR="008C668E" w:rsidRDefault="008C668E" w:rsidP="005D6964">
      <w:pPr>
        <w:numPr>
          <w:ilvl w:val="0"/>
          <w:numId w:val="1"/>
        </w:numPr>
        <w:spacing w:line="240" w:lineRule="auto"/>
        <w:ind w:hanging="360"/>
        <w:contextualSpacing/>
      </w:pPr>
      <w:r>
        <w:t>The student will be able to identify the standard elements of scholarly writing.</w:t>
      </w:r>
    </w:p>
    <w:p w14:paraId="41089E74" w14:textId="1BFDB9B6" w:rsidR="00DC17E2" w:rsidRPr="00DC17E2" w:rsidRDefault="00DC17E2" w:rsidP="00DC17E2">
      <w:pPr>
        <w:numPr>
          <w:ilvl w:val="0"/>
          <w:numId w:val="1"/>
        </w:numPr>
        <w:spacing w:line="240" w:lineRule="auto"/>
        <w:ind w:hanging="360"/>
        <w:contextualSpacing/>
        <w:rPr>
          <w:color w:val="auto"/>
        </w:rPr>
      </w:pPr>
      <w:r w:rsidRPr="00DC17E2">
        <w:rPr>
          <w:color w:val="auto"/>
        </w:rPr>
        <w:t>The student will be able to distinguish scholarly from non-scholarly literature.</w:t>
      </w:r>
    </w:p>
    <w:p w14:paraId="678FD32A" w14:textId="3B29C0AB" w:rsidR="008C668E" w:rsidRDefault="008C668E" w:rsidP="005D6964">
      <w:pPr>
        <w:numPr>
          <w:ilvl w:val="0"/>
          <w:numId w:val="1"/>
        </w:numPr>
        <w:spacing w:line="240" w:lineRule="auto"/>
        <w:ind w:hanging="360"/>
        <w:contextualSpacing/>
      </w:pPr>
      <w:r>
        <w:t>The s</w:t>
      </w:r>
      <w:r w:rsidR="00DC17E2">
        <w:t xml:space="preserve">tudent will be able to </w:t>
      </w:r>
      <w:r w:rsidR="002A55C5">
        <w:t xml:space="preserve">select </w:t>
      </w:r>
      <w:r w:rsidR="00DC17E2">
        <w:t xml:space="preserve">the appropriate </w:t>
      </w:r>
      <w:r w:rsidR="002A55C5">
        <w:t xml:space="preserve">type of source to use in </w:t>
      </w:r>
      <w:r w:rsidR="00A02903">
        <w:t>various</w:t>
      </w:r>
      <w:r w:rsidR="002A55C5">
        <w:t xml:space="preserve"> </w:t>
      </w:r>
      <w:r w:rsidR="00DC17E2">
        <w:t>context</w:t>
      </w:r>
      <w:r w:rsidR="002A55C5">
        <w:t>s.</w:t>
      </w:r>
    </w:p>
    <w:p w14:paraId="26D5425F" w14:textId="77777777" w:rsidR="005D6964" w:rsidRDefault="005D6964" w:rsidP="005D6964">
      <w:pPr>
        <w:spacing w:line="240" w:lineRule="auto"/>
      </w:pPr>
    </w:p>
    <w:p w14:paraId="5E5FF5E6" w14:textId="77777777" w:rsidR="005D6964" w:rsidRDefault="005D6964" w:rsidP="005D6964">
      <w:pPr>
        <w:spacing w:line="240" w:lineRule="auto"/>
      </w:pPr>
      <w:r w:rsidRPr="001A1010">
        <w:rPr>
          <w:b/>
        </w:rPr>
        <w:t>Materials</w:t>
      </w:r>
      <w:r>
        <w:t>:</w:t>
      </w:r>
    </w:p>
    <w:p w14:paraId="588FAF33" w14:textId="168D5F78" w:rsidR="00CF2B6E" w:rsidRPr="00AD0306" w:rsidRDefault="00AD0306" w:rsidP="00AD0306">
      <w:pPr>
        <w:pStyle w:val="ListParagraph"/>
        <w:numPr>
          <w:ilvl w:val="0"/>
          <w:numId w:val="2"/>
        </w:numPr>
        <w:spacing w:line="240" w:lineRule="auto"/>
        <w:ind w:hanging="360"/>
      </w:pPr>
      <w:r>
        <w:t>An online guide with links to articles (pairs of one scholarly and one non-scholarly article each on the same topic</w:t>
      </w:r>
      <w:r w:rsidR="00036E49">
        <w:t>:</w:t>
      </w:r>
      <w:r>
        <w:t xml:space="preserve"> </w:t>
      </w:r>
      <w:r w:rsidR="00036E49">
        <w:t>Ex:</w:t>
      </w:r>
      <w:r>
        <w:t xml:space="preserve"> </w:t>
      </w:r>
      <w:r w:rsidRPr="00FF500A">
        <w:t>http://wiu.libguides.com/c.php?g=295260&amp;p=2629816</w:t>
      </w:r>
      <w:r>
        <w:t>)</w:t>
      </w:r>
    </w:p>
    <w:p w14:paraId="4161D222" w14:textId="1B412B5E" w:rsidR="00D71F30" w:rsidRPr="00D71F30" w:rsidRDefault="008C668E" w:rsidP="005D6964">
      <w:pPr>
        <w:numPr>
          <w:ilvl w:val="0"/>
          <w:numId w:val="2"/>
        </w:numPr>
        <w:spacing w:line="240" w:lineRule="auto"/>
        <w:ind w:hanging="360"/>
        <w:contextualSpacing/>
        <w:rPr>
          <w:rFonts w:ascii="Cambria" w:hAnsi="Cambria"/>
          <w:i/>
        </w:rPr>
      </w:pPr>
      <w:r>
        <w:t>Each pair/group needs a copy of the worksheet and a printed scholarly article, at least one computer with access to the internet,</w:t>
      </w:r>
      <w:r w:rsidR="00CF2B6E">
        <w:t xml:space="preserve"> and a h</w:t>
      </w:r>
      <w:r>
        <w:t xml:space="preserve">ighlighter </w:t>
      </w:r>
      <w:r w:rsidR="00CF2B6E">
        <w:t>and a writing utensil</w:t>
      </w:r>
    </w:p>
    <w:p w14:paraId="60C745C8" w14:textId="77777777" w:rsidR="005D6964" w:rsidRDefault="005D6964" w:rsidP="005D6964">
      <w:pPr>
        <w:spacing w:line="240" w:lineRule="auto"/>
      </w:pPr>
    </w:p>
    <w:p w14:paraId="57CCE4EB" w14:textId="37B5943C" w:rsidR="005D6964" w:rsidRDefault="001C1AA4" w:rsidP="005D6964">
      <w:pPr>
        <w:spacing w:line="240" w:lineRule="auto"/>
      </w:pPr>
      <w:r>
        <w:rPr>
          <w:b/>
        </w:rPr>
        <w:t>Lesson Outline/Procedure</w:t>
      </w:r>
      <w:r w:rsidR="005D696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ED51D2" w14:paraId="4162EDEA" w14:textId="77777777" w:rsidTr="00ED51D2">
        <w:tc>
          <w:tcPr>
            <w:tcW w:w="1435" w:type="dxa"/>
          </w:tcPr>
          <w:p w14:paraId="4BEF6BFE" w14:textId="48720DEB" w:rsidR="00ED51D2" w:rsidRDefault="00ED51D2" w:rsidP="005D6964">
            <w:pPr>
              <w:spacing w:line="240" w:lineRule="auto"/>
            </w:pPr>
            <w:r>
              <w:t>Time</w:t>
            </w:r>
          </w:p>
        </w:tc>
        <w:tc>
          <w:tcPr>
            <w:tcW w:w="7915" w:type="dxa"/>
          </w:tcPr>
          <w:p w14:paraId="3B0EC9DD" w14:textId="6DBDB1A3" w:rsidR="00ED51D2" w:rsidRDefault="00ED51D2" w:rsidP="005D6964">
            <w:pPr>
              <w:spacing w:line="240" w:lineRule="auto"/>
            </w:pPr>
            <w:r>
              <w:t>Activity</w:t>
            </w:r>
          </w:p>
        </w:tc>
      </w:tr>
      <w:tr w:rsidR="00ED51D2" w14:paraId="76B9940F" w14:textId="77777777" w:rsidTr="00ED51D2">
        <w:tc>
          <w:tcPr>
            <w:tcW w:w="1435" w:type="dxa"/>
          </w:tcPr>
          <w:p w14:paraId="0B4E008E" w14:textId="2154BC98" w:rsidR="00ED51D2" w:rsidRDefault="00ED51D2" w:rsidP="005D6964">
            <w:pPr>
              <w:spacing w:line="240" w:lineRule="auto"/>
            </w:pPr>
            <w:r>
              <w:t>5 minutes</w:t>
            </w:r>
          </w:p>
        </w:tc>
        <w:tc>
          <w:tcPr>
            <w:tcW w:w="7915" w:type="dxa"/>
          </w:tcPr>
          <w:p w14:paraId="37F9156C" w14:textId="77777777" w:rsidR="00ED51D2" w:rsidRPr="00A02903" w:rsidRDefault="00ED51D2" w:rsidP="00ED51D2">
            <w:pPr>
              <w:ind w:left="-18"/>
              <w:rPr>
                <w:color w:val="auto"/>
              </w:rPr>
            </w:pPr>
            <w:r w:rsidRPr="00A02903">
              <w:rPr>
                <w:color w:val="auto"/>
                <w:u w:val="single"/>
              </w:rPr>
              <w:t>Set up</w:t>
            </w:r>
          </w:p>
          <w:p w14:paraId="69B79B16" w14:textId="1397D99B" w:rsidR="00ED51D2" w:rsidRPr="00A02903" w:rsidRDefault="00ED51D2" w:rsidP="00ED51D2">
            <w:pPr>
              <w:pStyle w:val="ListParagraph"/>
              <w:numPr>
                <w:ilvl w:val="0"/>
                <w:numId w:val="7"/>
              </w:numPr>
              <w:ind w:left="342"/>
              <w:rPr>
                <w:color w:val="auto"/>
              </w:rPr>
            </w:pPr>
            <w:r w:rsidRPr="00A02903">
              <w:rPr>
                <w:color w:val="auto"/>
              </w:rPr>
              <w:t>Arrange room to encourage pair</w:t>
            </w:r>
            <w:r w:rsidR="001C1AA4">
              <w:rPr>
                <w:color w:val="auto"/>
              </w:rPr>
              <w:t xml:space="preserve">s or </w:t>
            </w:r>
            <w:r>
              <w:rPr>
                <w:color w:val="auto"/>
              </w:rPr>
              <w:t>groups of three</w:t>
            </w:r>
          </w:p>
          <w:p w14:paraId="43C58670" w14:textId="77777777" w:rsidR="00ED51D2" w:rsidRPr="00A02903" w:rsidRDefault="00ED51D2" w:rsidP="00ED51D2">
            <w:pPr>
              <w:pStyle w:val="ListParagraph"/>
              <w:numPr>
                <w:ilvl w:val="0"/>
                <w:numId w:val="7"/>
              </w:numPr>
              <w:ind w:left="342"/>
              <w:rPr>
                <w:color w:val="auto"/>
              </w:rPr>
            </w:pPr>
            <w:r w:rsidRPr="00A02903">
              <w:rPr>
                <w:color w:val="auto"/>
              </w:rPr>
              <w:t>Distribute the following:</w:t>
            </w:r>
          </w:p>
          <w:p w14:paraId="0BC362AA" w14:textId="77777777" w:rsidR="00ED51D2" w:rsidRPr="00A02903" w:rsidRDefault="00ED51D2" w:rsidP="00ED51D2">
            <w:pPr>
              <w:pStyle w:val="ListParagraph"/>
              <w:numPr>
                <w:ilvl w:val="1"/>
                <w:numId w:val="7"/>
              </w:numPr>
              <w:ind w:left="702"/>
              <w:rPr>
                <w:color w:val="auto"/>
              </w:rPr>
            </w:pPr>
            <w:r w:rsidRPr="00A02903">
              <w:rPr>
                <w:color w:val="auto"/>
              </w:rPr>
              <w:t>Each participa</w:t>
            </w:r>
            <w:r>
              <w:rPr>
                <w:color w:val="auto"/>
              </w:rPr>
              <w:t>nt gets a copy of the worksheet.</w:t>
            </w:r>
          </w:p>
          <w:p w14:paraId="61ACBD6B" w14:textId="77777777" w:rsidR="00ED51D2" w:rsidRPr="00A02903" w:rsidRDefault="00ED51D2" w:rsidP="00ED51D2">
            <w:pPr>
              <w:pStyle w:val="ListParagraph"/>
              <w:numPr>
                <w:ilvl w:val="1"/>
                <w:numId w:val="7"/>
              </w:numPr>
              <w:ind w:left="702"/>
              <w:rPr>
                <w:color w:val="auto"/>
              </w:rPr>
            </w:pPr>
            <w:r w:rsidRPr="00A02903">
              <w:rPr>
                <w:color w:val="auto"/>
              </w:rPr>
              <w:t>Each pair/group gets a print copy of one of the scholarly articles to mark up.</w:t>
            </w:r>
            <w:r>
              <w:rPr>
                <w:color w:val="auto"/>
              </w:rPr>
              <w:t xml:space="preserve"> </w:t>
            </w:r>
            <w:r w:rsidRPr="00A02903">
              <w:rPr>
                <w:color w:val="auto"/>
              </w:rPr>
              <w:t>Try not to give adjacent groups the same article</w:t>
            </w:r>
            <w:r>
              <w:rPr>
                <w:color w:val="auto"/>
              </w:rPr>
              <w:t>.</w:t>
            </w:r>
          </w:p>
          <w:p w14:paraId="3AEB8B69" w14:textId="77777777" w:rsidR="00ED51D2" w:rsidRPr="00A02903" w:rsidRDefault="00ED51D2" w:rsidP="00ED51D2">
            <w:pPr>
              <w:pStyle w:val="ListParagraph"/>
              <w:numPr>
                <w:ilvl w:val="1"/>
                <w:numId w:val="7"/>
              </w:numPr>
              <w:ind w:left="702"/>
              <w:rPr>
                <w:color w:val="auto"/>
              </w:rPr>
            </w:pPr>
            <w:r w:rsidRPr="00A02903">
              <w:rPr>
                <w:color w:val="auto"/>
              </w:rPr>
              <w:t xml:space="preserve">Each group </w:t>
            </w:r>
            <w:r>
              <w:rPr>
                <w:color w:val="auto"/>
              </w:rPr>
              <w:t>gets a highlighter.</w:t>
            </w:r>
          </w:p>
          <w:p w14:paraId="4A77F332" w14:textId="56E3AA2E" w:rsidR="00ED51D2" w:rsidRPr="00ED51D2" w:rsidRDefault="00ED51D2" w:rsidP="00ED51D2">
            <w:pPr>
              <w:pStyle w:val="ListParagraph"/>
              <w:numPr>
                <w:ilvl w:val="0"/>
                <w:numId w:val="8"/>
              </w:numPr>
              <w:ind w:left="342"/>
              <w:rPr>
                <w:color w:val="auto"/>
              </w:rPr>
            </w:pPr>
            <w:r w:rsidRPr="00A02903">
              <w:rPr>
                <w:color w:val="auto"/>
              </w:rPr>
              <w:t xml:space="preserve">On the presenter screen, bring up the </w:t>
            </w:r>
            <w:proofErr w:type="spellStart"/>
            <w:r w:rsidRPr="00A02903">
              <w:rPr>
                <w:color w:val="auto"/>
              </w:rPr>
              <w:t>LibGuide</w:t>
            </w:r>
            <w:proofErr w:type="spellEnd"/>
            <w:r w:rsidRPr="00A02903">
              <w:rPr>
                <w:color w:val="auto"/>
              </w:rPr>
              <w:t xml:space="preserve"> for the session as well as a PDF of each sample article for the students to use when they are presenting</w:t>
            </w:r>
          </w:p>
        </w:tc>
      </w:tr>
      <w:tr w:rsidR="00ED51D2" w14:paraId="275C9841" w14:textId="77777777" w:rsidTr="00ED51D2">
        <w:tc>
          <w:tcPr>
            <w:tcW w:w="1435" w:type="dxa"/>
          </w:tcPr>
          <w:p w14:paraId="13FA7D6D" w14:textId="7591EA60" w:rsidR="00ED51D2" w:rsidRDefault="00ED51D2" w:rsidP="005D6964">
            <w:pPr>
              <w:spacing w:line="240" w:lineRule="auto"/>
            </w:pPr>
            <w:r>
              <w:t>5 minutes</w:t>
            </w:r>
          </w:p>
        </w:tc>
        <w:tc>
          <w:tcPr>
            <w:tcW w:w="7915" w:type="dxa"/>
          </w:tcPr>
          <w:p w14:paraId="2A41877F" w14:textId="77777777" w:rsidR="00ED51D2" w:rsidRPr="00A02903" w:rsidRDefault="00ED51D2" w:rsidP="00ED51D2">
            <w:pPr>
              <w:rPr>
                <w:color w:val="auto"/>
              </w:rPr>
            </w:pPr>
            <w:r w:rsidRPr="00A02903">
              <w:rPr>
                <w:color w:val="auto"/>
                <w:u w:val="single"/>
              </w:rPr>
              <w:t>Introduce the process</w:t>
            </w:r>
          </w:p>
          <w:p w14:paraId="2EF7ED0D" w14:textId="4DB7B9C0" w:rsidR="00ED51D2" w:rsidRPr="00A02903" w:rsidRDefault="00ED51D2" w:rsidP="00ED51D2">
            <w:pPr>
              <w:pStyle w:val="ListParagraph"/>
              <w:numPr>
                <w:ilvl w:val="0"/>
                <w:numId w:val="8"/>
              </w:numPr>
              <w:ind w:left="342"/>
              <w:rPr>
                <w:color w:val="auto"/>
              </w:rPr>
            </w:pPr>
            <w:r>
              <w:rPr>
                <w:color w:val="auto"/>
              </w:rPr>
              <w:t xml:space="preserve">Guide students to </w:t>
            </w:r>
            <w:r w:rsidRPr="00A02903">
              <w:rPr>
                <w:color w:val="auto"/>
              </w:rPr>
              <w:t xml:space="preserve">the session </w:t>
            </w:r>
            <w:proofErr w:type="spellStart"/>
            <w:r w:rsidRPr="00A02903">
              <w:rPr>
                <w:color w:val="auto"/>
              </w:rPr>
              <w:t>LibGuide</w:t>
            </w:r>
            <w:proofErr w:type="spellEnd"/>
            <w:r w:rsidRPr="00A02903">
              <w:rPr>
                <w:color w:val="auto"/>
              </w:rPr>
              <w:t xml:space="preserve"> page</w:t>
            </w:r>
            <w:r w:rsidR="001C1AA4">
              <w:rPr>
                <w:color w:val="auto"/>
              </w:rPr>
              <w:t xml:space="preserve"> with </w:t>
            </w:r>
            <w:r w:rsidRPr="00A02903">
              <w:rPr>
                <w:color w:val="auto"/>
              </w:rPr>
              <w:t>article links</w:t>
            </w:r>
            <w:r w:rsidR="001C1AA4">
              <w:rPr>
                <w:color w:val="auto"/>
              </w:rPr>
              <w:t xml:space="preserve"> so they may</w:t>
            </w:r>
            <w:r w:rsidRPr="00A02903">
              <w:rPr>
                <w:color w:val="auto"/>
              </w:rPr>
              <w:t xml:space="preserve"> bring up the PDF version of their </w:t>
            </w:r>
            <w:r>
              <w:rPr>
                <w:color w:val="auto"/>
              </w:rPr>
              <w:t xml:space="preserve">assigned </w:t>
            </w:r>
            <w:r w:rsidRPr="00A02903">
              <w:rPr>
                <w:color w:val="auto"/>
              </w:rPr>
              <w:t>article</w:t>
            </w:r>
            <w:r>
              <w:rPr>
                <w:color w:val="auto"/>
              </w:rPr>
              <w:t>.</w:t>
            </w:r>
          </w:p>
          <w:p w14:paraId="784DE45C" w14:textId="77777777" w:rsidR="00ED51D2" w:rsidRPr="00A02903" w:rsidRDefault="00ED51D2" w:rsidP="00ED51D2">
            <w:pPr>
              <w:pStyle w:val="ListParagraph"/>
              <w:numPr>
                <w:ilvl w:val="0"/>
                <w:numId w:val="8"/>
              </w:numPr>
              <w:ind w:left="342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Review the </w:t>
            </w:r>
            <w:r w:rsidRPr="00A02903">
              <w:rPr>
                <w:color w:val="auto"/>
              </w:rPr>
              <w:t>workshe</w:t>
            </w:r>
            <w:r>
              <w:rPr>
                <w:color w:val="auto"/>
              </w:rPr>
              <w:t>et together so that all understand what to do.</w:t>
            </w:r>
          </w:p>
          <w:p w14:paraId="0BAA827C" w14:textId="0095C9AC" w:rsidR="00ED51D2" w:rsidRPr="00ED51D2" w:rsidRDefault="00ED51D2" w:rsidP="00ED51D2">
            <w:pPr>
              <w:pStyle w:val="ListParagraph"/>
              <w:numPr>
                <w:ilvl w:val="0"/>
                <w:numId w:val="8"/>
              </w:numPr>
              <w:ind w:left="342"/>
              <w:rPr>
                <w:color w:val="auto"/>
              </w:rPr>
            </w:pPr>
            <w:r w:rsidRPr="00A02903">
              <w:rPr>
                <w:color w:val="auto"/>
              </w:rPr>
              <w:t>Tell them to ass</w:t>
            </w:r>
            <w:r>
              <w:rPr>
                <w:color w:val="auto"/>
              </w:rPr>
              <w:t>ign a recorder and presenter(s).</w:t>
            </w:r>
          </w:p>
        </w:tc>
      </w:tr>
      <w:tr w:rsidR="00ED51D2" w14:paraId="562DD6F2" w14:textId="77777777" w:rsidTr="00ED51D2">
        <w:tc>
          <w:tcPr>
            <w:tcW w:w="1435" w:type="dxa"/>
          </w:tcPr>
          <w:p w14:paraId="16ABEA36" w14:textId="73D6CF6D" w:rsidR="00ED51D2" w:rsidRDefault="00ED51D2" w:rsidP="005D6964">
            <w:pPr>
              <w:spacing w:line="240" w:lineRule="auto"/>
            </w:pPr>
            <w:r>
              <w:lastRenderedPageBreak/>
              <w:t>30-40 minutes</w:t>
            </w:r>
          </w:p>
        </w:tc>
        <w:tc>
          <w:tcPr>
            <w:tcW w:w="7915" w:type="dxa"/>
          </w:tcPr>
          <w:p w14:paraId="66A489D5" w14:textId="77777777" w:rsidR="00ED51D2" w:rsidRPr="00A02903" w:rsidRDefault="00ED51D2" w:rsidP="00ED51D2">
            <w:pPr>
              <w:rPr>
                <w:color w:val="auto"/>
              </w:rPr>
            </w:pPr>
            <w:r w:rsidRPr="00A02903">
              <w:rPr>
                <w:color w:val="auto"/>
                <w:u w:val="single"/>
              </w:rPr>
              <w:t>Scholarly Autopsy Activity</w:t>
            </w:r>
          </w:p>
          <w:p w14:paraId="5C44CB08" w14:textId="5AEE3615" w:rsidR="00ED51D2" w:rsidRPr="00ED51D2" w:rsidRDefault="00ED51D2" w:rsidP="00ED51D2">
            <w:pPr>
              <w:pStyle w:val="ListParagraph"/>
              <w:numPr>
                <w:ilvl w:val="0"/>
                <w:numId w:val="10"/>
              </w:numPr>
              <w:ind w:left="342"/>
              <w:rPr>
                <w:color w:val="auto"/>
              </w:rPr>
            </w:pPr>
            <w:r w:rsidRPr="00A02903">
              <w:rPr>
                <w:color w:val="auto"/>
              </w:rPr>
              <w:t xml:space="preserve">Allow students to complete the worksheet, frequently checking in with each pair/group to judge progress. When the students reach questions 8-11 they may either work from a printed copy of the comparison article or an online PDF as linked from the </w:t>
            </w:r>
            <w:proofErr w:type="spellStart"/>
            <w:r w:rsidRPr="00A02903">
              <w:rPr>
                <w:color w:val="auto"/>
              </w:rPr>
              <w:t>LibGuide</w:t>
            </w:r>
            <w:proofErr w:type="spellEnd"/>
            <w:r w:rsidRPr="00A02903">
              <w:rPr>
                <w:color w:val="auto"/>
              </w:rPr>
              <w:t>.</w:t>
            </w:r>
          </w:p>
        </w:tc>
      </w:tr>
      <w:tr w:rsidR="00ED51D2" w14:paraId="41F50276" w14:textId="77777777" w:rsidTr="00ED51D2">
        <w:tc>
          <w:tcPr>
            <w:tcW w:w="1435" w:type="dxa"/>
          </w:tcPr>
          <w:p w14:paraId="5B4F7EC9" w14:textId="24652CAA" w:rsidR="00ED51D2" w:rsidRDefault="00ED51D2" w:rsidP="005D6964">
            <w:pPr>
              <w:spacing w:line="240" w:lineRule="auto"/>
            </w:pPr>
            <w:r>
              <w:t>20-30 minutes</w:t>
            </w:r>
          </w:p>
        </w:tc>
        <w:tc>
          <w:tcPr>
            <w:tcW w:w="7915" w:type="dxa"/>
          </w:tcPr>
          <w:p w14:paraId="1AFE445C" w14:textId="77777777" w:rsidR="00ED51D2" w:rsidRPr="00A02903" w:rsidRDefault="00ED51D2" w:rsidP="00ED51D2">
            <w:pPr>
              <w:rPr>
                <w:color w:val="auto"/>
              </w:rPr>
            </w:pPr>
            <w:r w:rsidRPr="00A02903">
              <w:rPr>
                <w:color w:val="auto"/>
                <w:u w:val="single"/>
              </w:rPr>
              <w:t>Report Back</w:t>
            </w:r>
          </w:p>
          <w:p w14:paraId="2791353F" w14:textId="643BF5B5" w:rsidR="00ED51D2" w:rsidRPr="00A02903" w:rsidRDefault="00ED51D2" w:rsidP="00ED51D2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A02903">
              <w:rPr>
                <w:color w:val="auto"/>
              </w:rPr>
              <w:t xml:space="preserve">Bring group back together and have students present. </w:t>
            </w:r>
            <w:r>
              <w:rPr>
                <w:color w:val="auto"/>
              </w:rPr>
              <w:t>Guide the discussion so as to frame each element from the scholarly articles in terms of the research process and to emphasize the contexts in which scholarly and non-scholarly sources may be appropriate. Possible discussion structure:</w:t>
            </w:r>
          </w:p>
          <w:p w14:paraId="08B471BB" w14:textId="3AA7D211" w:rsidR="00ED51D2" w:rsidRPr="00A02903" w:rsidRDefault="00ED51D2" w:rsidP="00ED51D2">
            <w:pPr>
              <w:pStyle w:val="ListParagraph"/>
              <w:numPr>
                <w:ilvl w:val="1"/>
                <w:numId w:val="12"/>
              </w:numPr>
              <w:ind w:left="702"/>
              <w:rPr>
                <w:color w:val="auto"/>
              </w:rPr>
            </w:pPr>
            <w:r w:rsidRPr="00A02903">
              <w:rPr>
                <w:color w:val="auto"/>
              </w:rPr>
              <w:t xml:space="preserve">Bring up the PDF of article </w:t>
            </w:r>
            <w:r w:rsidR="001C1AA4">
              <w:rPr>
                <w:color w:val="auto"/>
              </w:rPr>
              <w:t>1</w:t>
            </w:r>
            <w:r w:rsidRPr="00A02903">
              <w:rPr>
                <w:color w:val="auto"/>
              </w:rPr>
              <w:t xml:space="preserve"> up on screen. Ask all of the presenters </w:t>
            </w:r>
            <w:r w:rsidR="001C1AA4">
              <w:rPr>
                <w:color w:val="auto"/>
              </w:rPr>
              <w:t>with</w:t>
            </w:r>
            <w:r w:rsidRPr="00A02903">
              <w:rPr>
                <w:color w:val="auto"/>
              </w:rPr>
              <w:t xml:space="preserve"> article 1 to come to the front and discuss questions 1-3, showing what they found on screen. </w:t>
            </w:r>
          </w:p>
          <w:p w14:paraId="0D7BBD1F" w14:textId="77777777" w:rsidR="00ED51D2" w:rsidRPr="00A02903" w:rsidRDefault="00ED51D2" w:rsidP="00ED51D2">
            <w:pPr>
              <w:pStyle w:val="ListParagraph"/>
              <w:numPr>
                <w:ilvl w:val="1"/>
                <w:numId w:val="12"/>
              </w:numPr>
              <w:ind w:left="702"/>
              <w:rPr>
                <w:color w:val="auto"/>
              </w:rPr>
            </w:pPr>
            <w:r w:rsidRPr="00A02903">
              <w:rPr>
                <w:color w:val="auto"/>
              </w:rPr>
              <w:t xml:space="preserve">Have presenters for article 2 come up, bring up the PDF, and talk about questions 4-5, citations. Make sure </w:t>
            </w:r>
            <w:r>
              <w:rPr>
                <w:color w:val="auto"/>
              </w:rPr>
              <w:t>they s</w:t>
            </w:r>
            <w:r w:rsidRPr="00A02903">
              <w:rPr>
                <w:color w:val="auto"/>
              </w:rPr>
              <w:t>how the link between a</w:t>
            </w:r>
            <w:r>
              <w:rPr>
                <w:color w:val="auto"/>
              </w:rPr>
              <w:t xml:space="preserve"> </w:t>
            </w:r>
            <w:r w:rsidRPr="00A02903">
              <w:rPr>
                <w:color w:val="auto"/>
              </w:rPr>
              <w:t xml:space="preserve">citation and </w:t>
            </w:r>
            <w:r>
              <w:rPr>
                <w:color w:val="auto"/>
              </w:rPr>
              <w:t>its</w:t>
            </w:r>
            <w:r w:rsidRPr="00A02903">
              <w:rPr>
                <w:color w:val="auto"/>
              </w:rPr>
              <w:t xml:space="preserve"> bibliography entry</w:t>
            </w:r>
            <w:r>
              <w:rPr>
                <w:color w:val="auto"/>
              </w:rPr>
              <w:t>. Discuss how using sources is part of the research process and construction of authority. Talk about literature reviews and how they may or may not be explicitly named.</w:t>
            </w:r>
          </w:p>
          <w:p w14:paraId="5F130BDA" w14:textId="6E67BAE6" w:rsidR="00ED51D2" w:rsidRPr="00A02903" w:rsidRDefault="00ED51D2" w:rsidP="00ED51D2">
            <w:pPr>
              <w:pStyle w:val="ListParagraph"/>
              <w:numPr>
                <w:ilvl w:val="1"/>
                <w:numId w:val="12"/>
              </w:numPr>
              <w:ind w:left="702"/>
              <w:rPr>
                <w:color w:val="auto"/>
              </w:rPr>
            </w:pPr>
            <w:r w:rsidRPr="00A02903">
              <w:rPr>
                <w:color w:val="auto"/>
              </w:rPr>
              <w:t xml:space="preserve">Have presenters for article 3 </w:t>
            </w:r>
            <w:r w:rsidR="001C1AA4">
              <w:rPr>
                <w:color w:val="auto"/>
              </w:rPr>
              <w:t>t</w:t>
            </w:r>
            <w:r>
              <w:rPr>
                <w:color w:val="auto"/>
              </w:rPr>
              <w:t>a</w:t>
            </w:r>
            <w:r w:rsidRPr="00A02903">
              <w:rPr>
                <w:color w:val="auto"/>
              </w:rPr>
              <w:t xml:space="preserve">lk about the research question. </w:t>
            </w:r>
            <w:r>
              <w:rPr>
                <w:color w:val="auto"/>
              </w:rPr>
              <w:t>D</w:t>
            </w:r>
            <w:r w:rsidRPr="00A02903">
              <w:rPr>
                <w:color w:val="auto"/>
              </w:rPr>
              <w:t>isplay it on screen</w:t>
            </w:r>
            <w:r>
              <w:rPr>
                <w:color w:val="auto"/>
              </w:rPr>
              <w:t>, t</w:t>
            </w:r>
            <w:r w:rsidRPr="00A02903">
              <w:rPr>
                <w:color w:val="auto"/>
              </w:rPr>
              <w:t xml:space="preserve">alk about what a research question is and </w:t>
            </w:r>
            <w:r>
              <w:rPr>
                <w:color w:val="auto"/>
              </w:rPr>
              <w:t>what role it plays in the creation of information.</w:t>
            </w:r>
          </w:p>
          <w:p w14:paraId="78BA8FDF" w14:textId="77777777" w:rsidR="00ED51D2" w:rsidRPr="00A02903" w:rsidRDefault="00ED51D2" w:rsidP="00ED51D2">
            <w:pPr>
              <w:pStyle w:val="ListParagraph"/>
              <w:numPr>
                <w:ilvl w:val="1"/>
                <w:numId w:val="12"/>
              </w:numPr>
              <w:ind w:left="702"/>
              <w:rPr>
                <w:color w:val="auto"/>
              </w:rPr>
            </w:pPr>
            <w:r w:rsidRPr="00A02903">
              <w:rPr>
                <w:color w:val="auto"/>
              </w:rPr>
              <w:t>Have presenters for article 4 talk about methods</w:t>
            </w:r>
            <w:r>
              <w:rPr>
                <w:color w:val="auto"/>
              </w:rPr>
              <w:t xml:space="preserve"> used and their role in information creation and authority construction.</w:t>
            </w:r>
          </w:p>
          <w:p w14:paraId="282E4A82" w14:textId="233931E5" w:rsidR="00ED51D2" w:rsidRPr="00A02903" w:rsidRDefault="00ED51D2" w:rsidP="00ED51D2">
            <w:pPr>
              <w:pStyle w:val="ListParagraph"/>
              <w:numPr>
                <w:ilvl w:val="1"/>
                <w:numId w:val="12"/>
              </w:numPr>
              <w:ind w:left="702"/>
              <w:rPr>
                <w:color w:val="auto"/>
              </w:rPr>
            </w:pPr>
            <w:r w:rsidRPr="00A02903">
              <w:rPr>
                <w:color w:val="auto"/>
              </w:rPr>
              <w:t>Finally, have presenters for article 5 talk about the comparison to non-scholarly. Make sure they show the</w:t>
            </w:r>
            <w:r w:rsidR="001C1AA4">
              <w:rPr>
                <w:color w:val="auto"/>
              </w:rPr>
              <w:t xml:space="preserve"> </w:t>
            </w:r>
            <w:r w:rsidR="001C1AA4" w:rsidRPr="00A02903">
              <w:rPr>
                <w:color w:val="auto"/>
              </w:rPr>
              <w:t>visible difference</w:t>
            </w:r>
            <w:r w:rsidR="001C1AA4">
              <w:rPr>
                <w:color w:val="auto"/>
              </w:rPr>
              <w:t xml:space="preserve">s </w:t>
            </w:r>
            <w:r w:rsidRPr="00A02903">
              <w:rPr>
                <w:color w:val="auto"/>
              </w:rPr>
              <w:t>on-screen.</w:t>
            </w:r>
          </w:p>
          <w:p w14:paraId="13BFD903" w14:textId="51EFE112" w:rsidR="00ED51D2" w:rsidRPr="00ED51D2" w:rsidRDefault="00ED51D2" w:rsidP="00ED51D2">
            <w:pPr>
              <w:pStyle w:val="ListParagraph"/>
              <w:ind w:left="342"/>
              <w:rPr>
                <w:color w:val="auto"/>
              </w:rPr>
            </w:pPr>
            <w:r w:rsidRPr="00ED51D2">
              <w:rPr>
                <w:b/>
                <w:color w:val="auto"/>
              </w:rPr>
              <w:t>Note:</w:t>
            </w:r>
            <w:r>
              <w:rPr>
                <w:color w:val="auto"/>
              </w:rPr>
              <w:t xml:space="preserve"> The above process must be adapted to fit with the number of groups constituted and the example articles used.</w:t>
            </w:r>
          </w:p>
        </w:tc>
      </w:tr>
    </w:tbl>
    <w:p w14:paraId="76783539" w14:textId="77777777" w:rsidR="00CF2B6E" w:rsidRPr="00FF500A" w:rsidRDefault="00CF2B6E" w:rsidP="00CF2B6E">
      <w:pPr>
        <w:spacing w:line="240" w:lineRule="auto"/>
        <w:contextualSpacing/>
        <w:rPr>
          <w:rFonts w:ascii="Cambria" w:hAnsi="Cambria"/>
          <w:i/>
          <w:color w:val="0070C0"/>
        </w:rPr>
      </w:pPr>
    </w:p>
    <w:p w14:paraId="35B46A3B" w14:textId="655C25DC" w:rsidR="00FF500A" w:rsidRDefault="005D6964" w:rsidP="005D6964">
      <w:pPr>
        <w:spacing w:line="240" w:lineRule="auto"/>
      </w:pPr>
      <w:r w:rsidRPr="001A1010">
        <w:rPr>
          <w:b/>
        </w:rPr>
        <w:t>Assessment</w:t>
      </w:r>
      <w:r>
        <w:t>:</w:t>
      </w:r>
    </w:p>
    <w:p w14:paraId="75356AF7" w14:textId="413DFA15" w:rsidR="00FF500A" w:rsidRPr="00FF500A" w:rsidRDefault="00FF500A" w:rsidP="003C0224">
      <w:pPr>
        <w:numPr>
          <w:ilvl w:val="0"/>
          <w:numId w:val="15"/>
        </w:numPr>
        <w:spacing w:line="240" w:lineRule="auto"/>
        <w:ind w:hanging="360"/>
        <w:contextualSpacing/>
        <w:rPr>
          <w:color w:val="auto"/>
        </w:rPr>
      </w:pPr>
      <w:r w:rsidRPr="00FF500A">
        <w:rPr>
          <w:color w:val="auto"/>
        </w:rPr>
        <w:t>The librarian and the teacher of record will evaluate students’ learning based on the verbal reports of their article comparisons and the resulting discussion between groups.</w:t>
      </w:r>
    </w:p>
    <w:p w14:paraId="36C84E6E" w14:textId="26DD7D94" w:rsidR="00D71F30" w:rsidRPr="00FF500A" w:rsidRDefault="00FF500A" w:rsidP="003C0224">
      <w:pPr>
        <w:numPr>
          <w:ilvl w:val="0"/>
          <w:numId w:val="15"/>
        </w:numPr>
        <w:spacing w:line="240" w:lineRule="auto"/>
        <w:ind w:hanging="360"/>
        <w:contextualSpacing/>
        <w:rPr>
          <w:rFonts w:ascii="Cambria" w:hAnsi="Cambria"/>
          <w:i/>
          <w:color w:val="auto"/>
        </w:rPr>
      </w:pPr>
      <w:r w:rsidRPr="00FF500A">
        <w:rPr>
          <w:color w:val="auto"/>
        </w:rPr>
        <w:t>Additional assessment will take place after the session by examining the written worksheets and marked-up articles</w:t>
      </w:r>
    </w:p>
    <w:p w14:paraId="3D75AB20" w14:textId="77777777" w:rsidR="005D6964" w:rsidRDefault="005D6964" w:rsidP="005D6964">
      <w:pPr>
        <w:spacing w:line="240" w:lineRule="auto"/>
      </w:pPr>
    </w:p>
    <w:p w14:paraId="6632CA4E" w14:textId="77777777" w:rsidR="005D6964" w:rsidRDefault="005D6964" w:rsidP="005D6964">
      <w:pPr>
        <w:spacing w:line="240" w:lineRule="auto"/>
      </w:pPr>
      <w:r w:rsidRPr="001A1010">
        <w:rPr>
          <w:b/>
        </w:rPr>
        <w:t>ACRL Information Literacy Framework</w:t>
      </w:r>
      <w:r>
        <w:t>:</w:t>
      </w:r>
    </w:p>
    <w:p w14:paraId="4986326E" w14:textId="4A0911D5" w:rsidR="00FF500A" w:rsidRDefault="00FF500A" w:rsidP="003C0224">
      <w:pPr>
        <w:pStyle w:val="ListParagraph"/>
        <w:numPr>
          <w:ilvl w:val="0"/>
          <w:numId w:val="16"/>
        </w:numPr>
        <w:spacing w:line="240" w:lineRule="auto"/>
        <w:ind w:hanging="360"/>
      </w:pPr>
      <w:r w:rsidRPr="00FF500A">
        <w:t>Authority is Constructed and Contextual</w:t>
      </w:r>
      <w:r>
        <w:t>: Knowledge Practice 2</w:t>
      </w:r>
    </w:p>
    <w:p w14:paraId="58FDF3CA" w14:textId="65A72FD4" w:rsidR="00FF500A" w:rsidRDefault="00FF500A" w:rsidP="003C0224">
      <w:pPr>
        <w:pStyle w:val="ListParagraph"/>
        <w:numPr>
          <w:ilvl w:val="0"/>
          <w:numId w:val="16"/>
        </w:numPr>
        <w:spacing w:line="240" w:lineRule="auto"/>
        <w:ind w:hanging="360"/>
      </w:pPr>
      <w:r>
        <w:t>Authority is Constructed and Contextual: Knowledge Practice 3</w:t>
      </w:r>
    </w:p>
    <w:p w14:paraId="443FFBAF" w14:textId="700989B9" w:rsidR="00FF500A" w:rsidRDefault="00FF500A" w:rsidP="003C0224">
      <w:pPr>
        <w:pStyle w:val="ListParagraph"/>
        <w:numPr>
          <w:ilvl w:val="0"/>
          <w:numId w:val="16"/>
        </w:numPr>
        <w:spacing w:line="240" w:lineRule="auto"/>
        <w:ind w:hanging="360"/>
      </w:pPr>
      <w:r>
        <w:t>Information Creation as a Process: Knowledge Practice 1</w:t>
      </w:r>
    </w:p>
    <w:p w14:paraId="06FD0A98" w14:textId="205F8197" w:rsidR="00FF500A" w:rsidRDefault="00FF500A" w:rsidP="003C0224">
      <w:pPr>
        <w:pStyle w:val="ListParagraph"/>
        <w:numPr>
          <w:ilvl w:val="0"/>
          <w:numId w:val="16"/>
        </w:numPr>
        <w:spacing w:line="240" w:lineRule="auto"/>
        <w:ind w:hanging="360"/>
      </w:pPr>
      <w:r>
        <w:t>Information Creation as a Process: Knowledge Practice 2</w:t>
      </w:r>
    </w:p>
    <w:p w14:paraId="01C4A563" w14:textId="3CD39581" w:rsidR="00FF500A" w:rsidRDefault="00FF500A" w:rsidP="003C0224">
      <w:pPr>
        <w:pStyle w:val="ListParagraph"/>
        <w:numPr>
          <w:ilvl w:val="0"/>
          <w:numId w:val="16"/>
        </w:numPr>
        <w:spacing w:line="240" w:lineRule="auto"/>
        <w:ind w:hanging="360"/>
      </w:pPr>
      <w:r>
        <w:t>Information Creation as a Process: Knowledge Practice 4</w:t>
      </w:r>
    </w:p>
    <w:p w14:paraId="1C1B5C25" w14:textId="0C7D73E8" w:rsidR="00FF500A" w:rsidRDefault="00FF500A" w:rsidP="003C0224">
      <w:pPr>
        <w:pStyle w:val="ListParagraph"/>
        <w:numPr>
          <w:ilvl w:val="0"/>
          <w:numId w:val="16"/>
        </w:numPr>
        <w:spacing w:line="240" w:lineRule="auto"/>
        <w:ind w:hanging="360"/>
      </w:pPr>
      <w:r>
        <w:t>Information Creation as a Process: Disposition 1</w:t>
      </w:r>
    </w:p>
    <w:p w14:paraId="4C8E8AFE" w14:textId="327525DA" w:rsidR="005C3AA6" w:rsidRDefault="00FF500A" w:rsidP="00036E49">
      <w:pPr>
        <w:pStyle w:val="ListParagraph"/>
        <w:numPr>
          <w:ilvl w:val="0"/>
          <w:numId w:val="16"/>
        </w:numPr>
        <w:spacing w:line="240" w:lineRule="auto"/>
        <w:ind w:hanging="360"/>
      </w:pPr>
      <w:r>
        <w:t>Information Creation as a Process: Disposition 2</w:t>
      </w:r>
    </w:p>
    <w:sectPr w:rsidR="005C3A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8C8"/>
    <w:multiLevelType w:val="multilevel"/>
    <w:tmpl w:val="E124C02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46B1A61"/>
    <w:multiLevelType w:val="multilevel"/>
    <w:tmpl w:val="626C55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8EC4E5A"/>
    <w:multiLevelType w:val="hybridMultilevel"/>
    <w:tmpl w:val="0FB63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98BA5E">
      <w:numFmt w:val="bullet"/>
      <w:lvlText w:val="•"/>
      <w:lvlJc w:val="left"/>
      <w:pPr>
        <w:ind w:left="3240" w:hanging="720"/>
      </w:pPr>
      <w:rPr>
        <w:rFonts w:ascii="Arial" w:eastAsia="Arial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D1C45"/>
    <w:multiLevelType w:val="multilevel"/>
    <w:tmpl w:val="6FF0E6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72E5893"/>
    <w:multiLevelType w:val="hybridMultilevel"/>
    <w:tmpl w:val="09CE66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396EDC"/>
    <w:multiLevelType w:val="multilevel"/>
    <w:tmpl w:val="735639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62B2043"/>
    <w:multiLevelType w:val="hybridMultilevel"/>
    <w:tmpl w:val="ABFEA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98BA5E">
      <w:numFmt w:val="bullet"/>
      <w:lvlText w:val="•"/>
      <w:lvlJc w:val="left"/>
      <w:pPr>
        <w:ind w:left="3240" w:hanging="720"/>
      </w:pPr>
      <w:rPr>
        <w:rFonts w:ascii="Arial" w:eastAsia="Arial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EC4EAB"/>
    <w:multiLevelType w:val="hybridMultilevel"/>
    <w:tmpl w:val="2A86D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746431"/>
    <w:multiLevelType w:val="hybridMultilevel"/>
    <w:tmpl w:val="0C440B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590604"/>
    <w:multiLevelType w:val="hybridMultilevel"/>
    <w:tmpl w:val="D8BC2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07061A"/>
    <w:multiLevelType w:val="multilevel"/>
    <w:tmpl w:val="84809B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9B25534"/>
    <w:multiLevelType w:val="hybridMultilevel"/>
    <w:tmpl w:val="CC822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9A66CB"/>
    <w:multiLevelType w:val="multilevel"/>
    <w:tmpl w:val="AB4ABAA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57E634B"/>
    <w:multiLevelType w:val="multilevel"/>
    <w:tmpl w:val="191818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7ADE644B"/>
    <w:multiLevelType w:val="hybridMultilevel"/>
    <w:tmpl w:val="A8B6D8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FC90D63"/>
    <w:multiLevelType w:val="multilevel"/>
    <w:tmpl w:val="7C3229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3"/>
  </w:num>
  <w:num w:numId="5">
    <w:abstractNumId w:val="3"/>
  </w:num>
  <w:num w:numId="6">
    <w:abstractNumId w:val="1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64"/>
    <w:rsid w:val="00017856"/>
    <w:rsid w:val="00036E49"/>
    <w:rsid w:val="00103747"/>
    <w:rsid w:val="0012298B"/>
    <w:rsid w:val="001567D3"/>
    <w:rsid w:val="001C1AA4"/>
    <w:rsid w:val="00201A04"/>
    <w:rsid w:val="002A55C5"/>
    <w:rsid w:val="002F5FDE"/>
    <w:rsid w:val="00300208"/>
    <w:rsid w:val="003C0224"/>
    <w:rsid w:val="003F5386"/>
    <w:rsid w:val="0050118B"/>
    <w:rsid w:val="005145CE"/>
    <w:rsid w:val="005D6964"/>
    <w:rsid w:val="00631DEB"/>
    <w:rsid w:val="006A04BC"/>
    <w:rsid w:val="006E7563"/>
    <w:rsid w:val="00700239"/>
    <w:rsid w:val="00775C5A"/>
    <w:rsid w:val="008511CC"/>
    <w:rsid w:val="008C668E"/>
    <w:rsid w:val="008D5698"/>
    <w:rsid w:val="00920A40"/>
    <w:rsid w:val="00944313"/>
    <w:rsid w:val="00A02903"/>
    <w:rsid w:val="00AB45B0"/>
    <w:rsid w:val="00AD0306"/>
    <w:rsid w:val="00B52C21"/>
    <w:rsid w:val="00CF2B6E"/>
    <w:rsid w:val="00D6029C"/>
    <w:rsid w:val="00D71F30"/>
    <w:rsid w:val="00DC17E2"/>
    <w:rsid w:val="00ED51D2"/>
    <w:rsid w:val="00EE6638"/>
    <w:rsid w:val="00FA4A82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310C7"/>
  <w15:docId w15:val="{1B683085-8350-44BE-9E61-3ED78CE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6964"/>
    <w:pPr>
      <w:spacing w:line="276" w:lineRule="auto"/>
    </w:pPr>
    <w:rPr>
      <w:rFonts w:eastAsia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F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386"/>
    <w:pPr>
      <w:ind w:left="720"/>
      <w:contextualSpacing/>
    </w:pPr>
  </w:style>
  <w:style w:type="table" w:styleId="TableGrid">
    <w:name w:val="Table Grid"/>
    <w:basedOn w:val="TableNormal"/>
    <w:uiPriority w:val="39"/>
    <w:rsid w:val="00ED5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Van Riper</dc:creator>
  <cp:keywords/>
  <dc:description/>
  <cp:lastModifiedBy>Krista A Bowers Sharpe</cp:lastModifiedBy>
  <cp:revision>2</cp:revision>
  <dcterms:created xsi:type="dcterms:W3CDTF">2017-06-19T16:35:00Z</dcterms:created>
  <dcterms:modified xsi:type="dcterms:W3CDTF">2017-06-19T16:35:00Z</dcterms:modified>
</cp:coreProperties>
</file>